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29490A" w:rsidRDefault="001541D4" w:rsidP="003E6F57">
      <w:pPr>
        <w:spacing w:after="0" w:line="240" w:lineRule="auto"/>
        <w:ind w:right="4"/>
        <w:contextualSpacing/>
        <w:jc w:val="center"/>
        <w:rPr>
          <w:rFonts w:ascii="Cambria" w:eastAsia="Batang" w:hAnsi="Cambria"/>
          <w:b/>
          <w:color w:val="000000" w:themeColor="text1"/>
        </w:rPr>
      </w:pPr>
      <w:r w:rsidRPr="0029490A">
        <w:rPr>
          <w:rFonts w:ascii="Cambria" w:eastAsia="Batang" w:hAnsi="Cambria"/>
          <w:b/>
          <w:color w:val="000000" w:themeColor="text1"/>
        </w:rPr>
        <w:t>TECHNICAL INFORMATION SHEET</w:t>
      </w:r>
    </w:p>
    <w:p w14:paraId="5AC855E9" w14:textId="5A00FD7C" w:rsidR="00550B55" w:rsidRPr="0029490A" w:rsidRDefault="007F4E67" w:rsidP="007F4E67">
      <w:pPr>
        <w:pStyle w:val="NoSpacing"/>
        <w:jc w:val="center"/>
        <w:rPr>
          <w:rFonts w:ascii="Cambria" w:hAnsi="Cambria"/>
          <w:b/>
          <w:color w:val="000000"/>
        </w:rPr>
      </w:pPr>
      <w:r w:rsidRPr="00DF2EDF">
        <w:rPr>
          <w:rFonts w:ascii="Cambria" w:hAnsi="Cambria"/>
          <w:b/>
          <w:color w:val="000000"/>
        </w:rPr>
        <w:t>PETITION 108-00 SEGOVIA MASSACRE</w:t>
      </w:r>
      <w:r w:rsidR="00550B55" w:rsidRPr="0029490A">
        <w:rPr>
          <w:rFonts w:ascii="Cambria" w:hAnsi="Cambria"/>
          <w:b/>
          <w:color w:val="000000"/>
        </w:rPr>
        <w:t xml:space="preserve"> </w:t>
      </w:r>
    </w:p>
    <w:p w14:paraId="023C007F" w14:textId="208764EF" w:rsidR="001541D4" w:rsidRPr="0029490A" w:rsidRDefault="001541D4" w:rsidP="003E6F57">
      <w:pPr>
        <w:spacing w:after="0" w:line="240" w:lineRule="auto"/>
        <w:ind w:right="4"/>
        <w:contextualSpacing/>
        <w:jc w:val="center"/>
        <w:rPr>
          <w:rFonts w:ascii="Cambria" w:eastAsia="Batang" w:hAnsi="Cambria"/>
          <w:b/>
          <w:color w:val="000000" w:themeColor="text1"/>
        </w:rPr>
      </w:pPr>
      <w:r w:rsidRPr="0029490A">
        <w:rPr>
          <w:rFonts w:ascii="Cambria" w:eastAsia="Batang" w:hAnsi="Cambria"/>
          <w:b/>
          <w:color w:val="000000" w:themeColor="text1"/>
        </w:rPr>
        <w:t xml:space="preserve">FRIENDLY SETTLEMENT REPORT </w:t>
      </w:r>
      <w:r w:rsidRPr="00DF2EDF">
        <w:rPr>
          <w:rFonts w:ascii="Cambria" w:eastAsia="Batang" w:hAnsi="Cambria"/>
          <w:b/>
          <w:color w:val="000000" w:themeColor="text1"/>
        </w:rPr>
        <w:t>No</w:t>
      </w:r>
      <w:r w:rsidR="007B1EDA" w:rsidRPr="0029490A">
        <w:rPr>
          <w:rFonts w:ascii="Cambria" w:eastAsia="Batang" w:hAnsi="Cambria"/>
          <w:b/>
          <w:color w:val="000000" w:themeColor="text1"/>
        </w:rPr>
        <w:t>.</w:t>
      </w:r>
      <w:r w:rsidR="006659C2" w:rsidRPr="0029490A">
        <w:rPr>
          <w:rFonts w:ascii="Cambria" w:eastAsia="Batang" w:hAnsi="Cambria"/>
          <w:b/>
          <w:color w:val="000000" w:themeColor="text1"/>
        </w:rPr>
        <w:t xml:space="preserve"> </w:t>
      </w:r>
      <w:hyperlink r:id="rId12">
        <w:r w:rsidR="007B1EDA" w:rsidRPr="00DF2EDF">
          <w:rPr>
            <w:rStyle w:val="Hyperlink"/>
            <w:rFonts w:ascii="Cambria" w:hAnsi="Cambria"/>
            <w:b/>
            <w:color w:val="000000" w:themeColor="text1"/>
            <w:u w:val="none"/>
          </w:rPr>
          <w:t>38/15</w:t>
        </w:r>
      </w:hyperlink>
    </w:p>
    <w:p w14:paraId="52EBA80E" w14:textId="77777777" w:rsidR="001541D4" w:rsidRPr="0029490A" w:rsidRDefault="001541D4" w:rsidP="003E6F57">
      <w:pPr>
        <w:spacing w:after="0" w:line="240" w:lineRule="auto"/>
        <w:ind w:right="4"/>
        <w:contextualSpacing/>
        <w:jc w:val="center"/>
        <w:rPr>
          <w:rFonts w:ascii="Cambria" w:eastAsia="Batang" w:hAnsi="Cambria"/>
          <w:b/>
          <w:color w:val="000000" w:themeColor="text1"/>
        </w:rPr>
      </w:pPr>
      <w:r w:rsidRPr="0029490A">
        <w:rPr>
          <w:rFonts w:ascii="Cambria" w:eastAsia="Batang" w:hAnsi="Cambria"/>
          <w:b/>
          <w:color w:val="000000" w:themeColor="text1"/>
        </w:rPr>
        <w:t>TOTAL COMPLIANCE</w:t>
      </w:r>
    </w:p>
    <w:p w14:paraId="359B0977" w14:textId="7BA59E45" w:rsidR="001541D4" w:rsidRPr="007F4E67" w:rsidRDefault="001541D4" w:rsidP="003E6F57">
      <w:pPr>
        <w:spacing w:after="0" w:line="240" w:lineRule="auto"/>
        <w:ind w:right="4"/>
        <w:contextualSpacing/>
        <w:jc w:val="center"/>
        <w:rPr>
          <w:rFonts w:ascii="Cambria" w:eastAsia="Batang" w:hAnsi="Cambria"/>
          <w:b/>
          <w:color w:val="000000" w:themeColor="text1"/>
        </w:rPr>
      </w:pPr>
      <w:r w:rsidRPr="00DF2EDF">
        <w:rPr>
          <w:rFonts w:ascii="Cambria" w:eastAsia="Batang" w:hAnsi="Cambria"/>
          <w:b/>
          <w:color w:val="000000" w:themeColor="text1"/>
        </w:rPr>
        <w:t>(</w:t>
      </w:r>
      <w:r w:rsidR="00550B55" w:rsidRPr="00DF2EDF">
        <w:rPr>
          <w:rFonts w:ascii="Cambria" w:eastAsia="Batang" w:hAnsi="Cambria"/>
          <w:b/>
          <w:color w:val="000000" w:themeColor="text1"/>
        </w:rPr>
        <w:t>COLOMBIA</w:t>
      </w:r>
      <w:r w:rsidRPr="00DF2EDF">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29490A" w14:paraId="58669F97" w14:textId="77777777" w:rsidTr="003E6F57">
        <w:trPr>
          <w:trHeight w:val="5967"/>
          <w:jc w:val="center"/>
        </w:trPr>
        <w:tc>
          <w:tcPr>
            <w:tcW w:w="9350" w:type="dxa"/>
            <w:shd w:val="clear" w:color="auto" w:fill="F2F2F2"/>
          </w:tcPr>
          <w:p w14:paraId="50629610" w14:textId="77777777" w:rsidR="00F9344E" w:rsidRPr="00DF2EDF" w:rsidRDefault="00F9344E" w:rsidP="00F9344E">
            <w:pPr>
              <w:pStyle w:val="NoSpacing"/>
              <w:jc w:val="both"/>
              <w:rPr>
                <w:rFonts w:ascii="Cambria" w:hAnsi="Cambria"/>
                <w:color w:val="000000"/>
                <w:sz w:val="20"/>
                <w:szCs w:val="20"/>
              </w:rPr>
            </w:pPr>
            <w:r w:rsidRPr="00DF2EDF">
              <w:rPr>
                <w:rFonts w:ascii="Cambria" w:hAnsi="Cambria"/>
                <w:b/>
                <w:color w:val="000000"/>
                <w:sz w:val="20"/>
                <w:szCs w:val="20"/>
              </w:rPr>
              <w:t>Victim (s):</w:t>
            </w:r>
            <w:r w:rsidRPr="00DF2EDF">
              <w:rPr>
                <w:rFonts w:ascii="Cambria" w:hAnsi="Cambria"/>
                <w:color w:val="000000"/>
                <w:sz w:val="20"/>
                <w:szCs w:val="20"/>
              </w:rPr>
              <w:t xml:space="preserve"> Segovia Massacre</w:t>
            </w:r>
          </w:p>
          <w:p w14:paraId="7123B841" w14:textId="77777777" w:rsidR="00F9344E" w:rsidRPr="00DF2EDF" w:rsidRDefault="00F9344E" w:rsidP="00F9344E">
            <w:pPr>
              <w:pStyle w:val="NoSpacing"/>
              <w:jc w:val="both"/>
              <w:rPr>
                <w:rFonts w:ascii="Cambria" w:hAnsi="Cambria"/>
                <w:color w:val="000000"/>
                <w:sz w:val="20"/>
                <w:szCs w:val="20"/>
                <w:lang w:val="es-CO"/>
              </w:rPr>
            </w:pPr>
            <w:r w:rsidRPr="00DF2EDF">
              <w:rPr>
                <w:rFonts w:ascii="Cambria" w:hAnsi="Cambria"/>
                <w:b/>
                <w:color w:val="000000"/>
                <w:sz w:val="20"/>
                <w:szCs w:val="20"/>
                <w:lang w:val="es-CO"/>
              </w:rPr>
              <w:t xml:space="preserve">Petitioner (s): </w:t>
            </w:r>
            <w:r w:rsidRPr="00DF2EDF">
              <w:rPr>
                <w:rFonts w:ascii="Cambria" w:hAnsi="Cambria"/>
                <w:color w:val="000000"/>
                <w:sz w:val="20"/>
                <w:szCs w:val="20"/>
                <w:lang w:val="es-CO"/>
              </w:rPr>
              <w:t>Javier Leonidas Villegas Posada</w:t>
            </w:r>
          </w:p>
          <w:p w14:paraId="02608AA8" w14:textId="77777777" w:rsidR="00F9344E" w:rsidRPr="00DF2EDF" w:rsidRDefault="00F9344E" w:rsidP="00F9344E">
            <w:pPr>
              <w:pStyle w:val="NoSpacing"/>
              <w:jc w:val="both"/>
              <w:rPr>
                <w:rFonts w:ascii="Cambria" w:hAnsi="Cambria"/>
                <w:color w:val="000000"/>
                <w:sz w:val="20"/>
                <w:szCs w:val="20"/>
              </w:rPr>
            </w:pPr>
            <w:r w:rsidRPr="00DF2EDF">
              <w:rPr>
                <w:rFonts w:ascii="Cambria" w:hAnsi="Cambria"/>
                <w:b/>
                <w:color w:val="000000"/>
                <w:sz w:val="20"/>
                <w:szCs w:val="20"/>
              </w:rPr>
              <w:t>State:</w:t>
            </w:r>
            <w:r w:rsidRPr="00DF2EDF">
              <w:rPr>
                <w:rFonts w:ascii="Cambria" w:hAnsi="Cambria"/>
                <w:color w:val="000000"/>
                <w:sz w:val="20"/>
                <w:szCs w:val="20"/>
              </w:rPr>
              <w:t xml:space="preserve"> Colombia</w:t>
            </w:r>
          </w:p>
          <w:p w14:paraId="4CB3F7DE" w14:textId="77777777" w:rsidR="00F9344E" w:rsidRPr="00DF2EDF" w:rsidRDefault="00F9344E" w:rsidP="00F9344E">
            <w:pPr>
              <w:pStyle w:val="NoSpacing"/>
              <w:tabs>
                <w:tab w:val="left" w:pos="9270"/>
              </w:tabs>
              <w:jc w:val="both"/>
              <w:rPr>
                <w:rFonts w:ascii="Cambria" w:hAnsi="Cambria"/>
                <w:b/>
                <w:bCs/>
                <w:color w:val="000000"/>
                <w:sz w:val="20"/>
                <w:szCs w:val="20"/>
              </w:rPr>
            </w:pPr>
            <w:r w:rsidRPr="00DF2EDF">
              <w:rPr>
                <w:rFonts w:ascii="Cambria" w:hAnsi="Cambria"/>
                <w:b/>
                <w:color w:val="000000"/>
                <w:sz w:val="20"/>
                <w:szCs w:val="20"/>
              </w:rPr>
              <w:t>Beginning of the negotiation date:</w:t>
            </w:r>
            <w:r w:rsidRPr="00DF2EDF">
              <w:rPr>
                <w:rFonts w:ascii="Cambria" w:hAnsi="Cambria"/>
                <w:color w:val="000000"/>
                <w:sz w:val="20"/>
                <w:szCs w:val="20"/>
              </w:rPr>
              <w:t xml:space="preserve"> </w:t>
            </w:r>
            <w:r w:rsidRPr="00DF2EDF">
              <w:rPr>
                <w:rFonts w:ascii="Cambria" w:hAnsi="Cambria"/>
                <w:sz w:val="20"/>
                <w:szCs w:val="20"/>
              </w:rPr>
              <w:t>April 22, 2014</w:t>
            </w:r>
          </w:p>
          <w:p w14:paraId="2F38D944" w14:textId="77777777" w:rsidR="00F9344E" w:rsidRPr="00DF2EDF" w:rsidRDefault="00F9344E" w:rsidP="00F9344E">
            <w:pPr>
              <w:spacing w:after="0" w:line="240" w:lineRule="auto"/>
              <w:rPr>
                <w:rFonts w:ascii="Cambria" w:hAnsi="Cambria"/>
                <w:b/>
                <w:bCs/>
                <w:color w:val="000000"/>
                <w:sz w:val="20"/>
                <w:szCs w:val="20"/>
              </w:rPr>
            </w:pPr>
            <w:r w:rsidRPr="00DF2EDF">
              <w:rPr>
                <w:rFonts w:ascii="Cambria" w:hAnsi="Cambria"/>
                <w:b/>
                <w:color w:val="000000"/>
                <w:sz w:val="20"/>
                <w:szCs w:val="20"/>
              </w:rPr>
              <w:t xml:space="preserve">FSA signature date: </w:t>
            </w:r>
            <w:r w:rsidRPr="00DF2EDF">
              <w:rPr>
                <w:rFonts w:ascii="Cambria" w:hAnsi="Cambria"/>
                <w:color w:val="000000"/>
                <w:sz w:val="20"/>
                <w:szCs w:val="20"/>
              </w:rPr>
              <w:t>May 6, 2015</w:t>
            </w:r>
          </w:p>
          <w:p w14:paraId="32F3D979" w14:textId="77777777" w:rsidR="00F9344E" w:rsidRPr="00DF2EDF" w:rsidRDefault="00F9344E" w:rsidP="00F9344E">
            <w:pPr>
              <w:pStyle w:val="NoSpacing"/>
              <w:jc w:val="both"/>
              <w:rPr>
                <w:rFonts w:ascii="Cambria" w:hAnsi="Cambria"/>
                <w:color w:val="000000"/>
                <w:sz w:val="20"/>
                <w:szCs w:val="20"/>
              </w:rPr>
            </w:pPr>
            <w:r w:rsidRPr="00DF2EDF">
              <w:rPr>
                <w:rFonts w:ascii="Cambria" w:hAnsi="Cambria"/>
                <w:b/>
                <w:color w:val="000000"/>
                <w:sz w:val="20"/>
                <w:szCs w:val="20"/>
              </w:rPr>
              <w:t xml:space="preserve">Friendly Settlement Agreement Report: </w:t>
            </w:r>
            <w:hyperlink r:id="rId13">
              <w:r w:rsidRPr="00DF2EDF">
                <w:rPr>
                  <w:rStyle w:val="Hyperlink"/>
                  <w:rFonts w:ascii="Cambria" w:hAnsi="Cambria"/>
                  <w:b/>
                  <w:color w:val="000000"/>
                  <w:sz w:val="20"/>
                  <w:szCs w:val="20"/>
                </w:rPr>
                <w:t>38/15</w:t>
              </w:r>
            </w:hyperlink>
            <w:r w:rsidRPr="00DF2EDF">
              <w:rPr>
                <w:rFonts w:ascii="Cambria" w:hAnsi="Cambria"/>
                <w:color w:val="000000"/>
                <w:sz w:val="20"/>
                <w:szCs w:val="20"/>
              </w:rPr>
              <w:t>, published on July 24, 2015</w:t>
            </w:r>
          </w:p>
          <w:p w14:paraId="4FEAD3A5" w14:textId="77777777" w:rsidR="00F9344E" w:rsidRPr="00DF2EDF" w:rsidRDefault="00F9344E" w:rsidP="00F9344E">
            <w:pPr>
              <w:spacing w:after="0" w:line="240" w:lineRule="auto"/>
              <w:rPr>
                <w:rFonts w:ascii="Cambria" w:hAnsi="Cambria"/>
                <w:b/>
                <w:bCs/>
                <w:color w:val="000000"/>
                <w:sz w:val="20"/>
                <w:szCs w:val="20"/>
              </w:rPr>
            </w:pPr>
            <w:r w:rsidRPr="00DF2EDF">
              <w:rPr>
                <w:rFonts w:ascii="Cambria" w:hAnsi="Cambria"/>
                <w:b/>
                <w:color w:val="000000"/>
                <w:sz w:val="20"/>
                <w:szCs w:val="20"/>
              </w:rPr>
              <w:t xml:space="preserve">Estimated length of the negotiation phase: </w:t>
            </w:r>
            <w:r w:rsidRPr="00DF2EDF">
              <w:rPr>
                <w:rFonts w:ascii="Cambria" w:hAnsi="Cambria"/>
                <w:color w:val="000000"/>
                <w:sz w:val="20"/>
                <w:szCs w:val="20"/>
              </w:rPr>
              <w:t>1 year</w:t>
            </w:r>
          </w:p>
          <w:p w14:paraId="7EC62EDD" w14:textId="77777777" w:rsidR="00F9344E" w:rsidRPr="00DF2EDF" w:rsidRDefault="00F9344E" w:rsidP="00F9344E">
            <w:pPr>
              <w:pStyle w:val="NoSpacing"/>
              <w:jc w:val="both"/>
              <w:rPr>
                <w:rFonts w:ascii="Cambria" w:hAnsi="Cambria"/>
                <w:color w:val="000000"/>
                <w:sz w:val="20"/>
                <w:szCs w:val="20"/>
              </w:rPr>
            </w:pPr>
            <w:r w:rsidRPr="00DF2EDF">
              <w:rPr>
                <w:rFonts w:ascii="Cambria" w:hAnsi="Cambria"/>
                <w:b/>
                <w:color w:val="000000"/>
                <w:sz w:val="20"/>
                <w:szCs w:val="20"/>
              </w:rPr>
              <w:t>Related Rapporteurship (s):</w:t>
            </w:r>
            <w:r w:rsidRPr="00DF2EDF">
              <w:rPr>
                <w:rFonts w:ascii="Cambria" w:hAnsi="Cambria"/>
                <w:color w:val="000000"/>
                <w:sz w:val="20"/>
                <w:szCs w:val="20"/>
              </w:rPr>
              <w:t xml:space="preserve"> Memory, Truth, and Justice Unit</w:t>
            </w:r>
          </w:p>
          <w:p w14:paraId="1400D0E5" w14:textId="77777777" w:rsidR="00F9344E" w:rsidRPr="00DF2EDF" w:rsidRDefault="00F9344E" w:rsidP="00F9344E">
            <w:pPr>
              <w:pStyle w:val="NoSpacing"/>
              <w:jc w:val="both"/>
              <w:rPr>
                <w:rFonts w:ascii="Cambria" w:hAnsi="Cambria"/>
                <w:color w:val="000000"/>
                <w:sz w:val="20"/>
                <w:szCs w:val="20"/>
              </w:rPr>
            </w:pPr>
            <w:r w:rsidRPr="00DF2EDF">
              <w:rPr>
                <w:rFonts w:ascii="Cambria" w:hAnsi="Cambria"/>
                <w:b/>
                <w:color w:val="000000"/>
                <w:sz w:val="20"/>
                <w:szCs w:val="20"/>
              </w:rPr>
              <w:t>Topics:</w:t>
            </w:r>
            <w:r w:rsidRPr="00DF2EDF">
              <w:rPr>
                <w:rFonts w:ascii="Cambria" w:hAnsi="Cambria"/>
                <w:color w:val="000000"/>
                <w:sz w:val="20"/>
                <w:szCs w:val="20"/>
              </w:rPr>
              <w:t xml:space="preserve"> Summary, extrajudicial, or arbitrary executions / Right to life / Massacre / Right to a fair trial / Right to judicial protection guarantees / Investigation</w:t>
            </w:r>
          </w:p>
          <w:p w14:paraId="7E5A975C" w14:textId="77777777" w:rsidR="00F9344E" w:rsidRPr="00DF2EDF" w:rsidRDefault="00F9344E" w:rsidP="00F9344E">
            <w:pPr>
              <w:pStyle w:val="NoSpacing"/>
              <w:jc w:val="both"/>
              <w:rPr>
                <w:rFonts w:ascii="Cambria" w:hAnsi="Cambria"/>
                <w:color w:val="000000"/>
                <w:sz w:val="20"/>
                <w:szCs w:val="20"/>
              </w:rPr>
            </w:pPr>
          </w:p>
          <w:p w14:paraId="746DB122" w14:textId="77777777" w:rsidR="00F9344E" w:rsidRPr="00DF2EDF" w:rsidRDefault="00F9344E" w:rsidP="00F9344E">
            <w:pPr>
              <w:pStyle w:val="NoSpacing"/>
              <w:jc w:val="both"/>
              <w:rPr>
                <w:rFonts w:ascii="Cambria" w:hAnsi="Cambria"/>
                <w:color w:val="000000"/>
                <w:sz w:val="20"/>
                <w:szCs w:val="20"/>
              </w:rPr>
            </w:pPr>
            <w:r w:rsidRPr="00DF2EDF">
              <w:rPr>
                <w:rFonts w:ascii="Cambria" w:hAnsi="Cambria"/>
                <w:b/>
                <w:color w:val="000000"/>
                <w:sz w:val="20"/>
                <w:szCs w:val="20"/>
              </w:rPr>
              <w:t>Facts:</w:t>
            </w:r>
            <w:r w:rsidRPr="00DF2EDF">
              <w:rPr>
                <w:rFonts w:ascii="Cambria" w:hAnsi="Cambria"/>
                <w:color w:val="000000"/>
                <w:sz w:val="20"/>
                <w:szCs w:val="20"/>
              </w:rPr>
              <w:t xml:space="preserve"> The case refers to incidents that took place on November 11, 1998 when a group of heavily armed men arrived in trucks at the center of the municipality of Segovia in Antioquia, opened fired, and threw hand grenades, leading to the death of 43 persons, including three children, and injuring another 50 persons. As indicated in the petition, the massacre was perpetrated by paramilitaries with the acquiescence of the National Army. The Colombian judiciary system had convicted five servicemen and four civilians and sentenced them to prison and fines for the crime of terrorism and others, on the basis of the facts described in the petition; nevertheless, not all those responsible had been investigated and punished. The petition was submitted for the benefit of 29 persons who lost their lives and 4 persons who were injured as a result of the incidents and their respective next-of-kin; afterwards this group was extended to include 5 additional victims and their next-of-kin.</w:t>
            </w:r>
          </w:p>
          <w:p w14:paraId="2F316A33" w14:textId="77777777" w:rsidR="00F9344E" w:rsidRPr="00DF2EDF" w:rsidRDefault="00F9344E" w:rsidP="00F9344E">
            <w:pPr>
              <w:pStyle w:val="NoSpacing"/>
              <w:jc w:val="both"/>
              <w:rPr>
                <w:rFonts w:ascii="Cambria" w:hAnsi="Cambria"/>
                <w:color w:val="000000"/>
                <w:sz w:val="20"/>
                <w:szCs w:val="20"/>
              </w:rPr>
            </w:pPr>
          </w:p>
          <w:p w14:paraId="38FCE193" w14:textId="15C40251" w:rsidR="006F75AC" w:rsidRPr="00DF2EDF" w:rsidRDefault="00F9344E" w:rsidP="00F9344E">
            <w:pPr>
              <w:tabs>
                <w:tab w:val="left" w:pos="9270"/>
              </w:tabs>
              <w:spacing w:after="0" w:line="240" w:lineRule="auto"/>
              <w:jc w:val="both"/>
              <w:rPr>
                <w:rFonts w:ascii="Cambria" w:eastAsia="Batang" w:hAnsi="Cambria"/>
                <w:color w:val="000000"/>
                <w:sz w:val="20"/>
                <w:szCs w:val="20"/>
              </w:rPr>
            </w:pPr>
            <w:r w:rsidRPr="00DF2EDF">
              <w:rPr>
                <w:rFonts w:ascii="Cambria" w:hAnsi="Cambria"/>
                <w:b/>
                <w:color w:val="000000"/>
                <w:sz w:val="20"/>
                <w:szCs w:val="20"/>
              </w:rPr>
              <w:t>Rights alleged:</w:t>
            </w:r>
            <w:r w:rsidRPr="00DF2EDF">
              <w:rPr>
                <w:rFonts w:ascii="Cambria" w:hAnsi="Cambria"/>
                <w:color w:val="000000"/>
                <w:sz w:val="20"/>
                <w:szCs w:val="20"/>
              </w:rPr>
              <w:t xml:space="preserve"> The petitioner alleged the violation of Articles 1 (obligation to respect rights), 4 (right to life), 5 (right to personal integrity), 7 (right to personal liberty), 8 (right to a fair trial), 10 (right to compensation), 11 (protection of honor and dignity), 17 (protection of family), 22 (freedom of movement and residence), and 25 (right to judicial protection) of the American Convention on Human Rights.</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08700397" w14:textId="77777777" w:rsidR="001541D4" w:rsidRPr="007175E2"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622D1A9C" w14:textId="77777777" w:rsidR="001541D4" w:rsidRPr="007175E2" w:rsidRDefault="001541D4" w:rsidP="00F9344E">
      <w:pPr>
        <w:spacing w:after="0" w:line="240" w:lineRule="auto"/>
        <w:contextualSpacing/>
        <w:jc w:val="both"/>
        <w:rPr>
          <w:rFonts w:ascii="Cambria" w:eastAsia="Batang" w:hAnsi="Cambria" w:cs="Calibri Light"/>
          <w:color w:val="000000"/>
        </w:rPr>
      </w:pPr>
    </w:p>
    <w:p w14:paraId="2EF52880" w14:textId="103CFDA4" w:rsidR="00C205C5" w:rsidRDefault="00C205C5" w:rsidP="00DF2EDF">
      <w:pPr>
        <w:pStyle w:val="ListParagraph"/>
        <w:numPr>
          <w:ilvl w:val="0"/>
          <w:numId w:val="47"/>
        </w:numPr>
        <w:ind w:left="0" w:firstLine="720"/>
        <w:rPr>
          <w:rFonts w:ascii="Cambria" w:hAnsi="Cambria"/>
          <w:sz w:val="20"/>
          <w:szCs w:val="20"/>
        </w:rPr>
      </w:pPr>
      <w:r w:rsidRPr="00BA2363">
        <w:rPr>
          <w:rFonts w:ascii="Cambria" w:hAnsi="Cambria"/>
          <w:sz w:val="20"/>
          <w:szCs w:val="20"/>
        </w:rPr>
        <w:t xml:space="preserve">On </w:t>
      </w:r>
      <w:r w:rsidR="00077368">
        <w:rPr>
          <w:rFonts w:ascii="Cambria" w:hAnsi="Cambria"/>
          <w:sz w:val="20"/>
          <w:szCs w:val="20"/>
        </w:rPr>
        <w:t>May 6</w:t>
      </w:r>
      <w:r w:rsidRPr="00BA2363">
        <w:rPr>
          <w:rFonts w:ascii="Cambria" w:hAnsi="Cambria"/>
          <w:sz w:val="20"/>
          <w:szCs w:val="20"/>
        </w:rPr>
        <w:t>, 20</w:t>
      </w:r>
      <w:r w:rsidR="00077368">
        <w:rPr>
          <w:rFonts w:ascii="Cambria" w:hAnsi="Cambria"/>
          <w:sz w:val="20"/>
          <w:szCs w:val="20"/>
        </w:rPr>
        <w:t>15</w:t>
      </w:r>
      <w:r w:rsidRPr="00BA2363">
        <w:rPr>
          <w:rFonts w:ascii="Cambria" w:hAnsi="Cambria"/>
          <w:sz w:val="20"/>
          <w:szCs w:val="20"/>
        </w:rPr>
        <w:t>, the parties signed a friendly settlement agreement.</w:t>
      </w:r>
    </w:p>
    <w:p w14:paraId="3F294ADF" w14:textId="77777777" w:rsidR="00402943" w:rsidRDefault="00402943" w:rsidP="00DF2EDF">
      <w:pPr>
        <w:pStyle w:val="ListParagraph"/>
        <w:ind w:left="0" w:firstLine="720"/>
        <w:rPr>
          <w:rFonts w:ascii="Cambria" w:hAnsi="Cambria"/>
          <w:sz w:val="20"/>
          <w:szCs w:val="20"/>
        </w:rPr>
      </w:pPr>
    </w:p>
    <w:p w14:paraId="1C138016" w14:textId="58016C60" w:rsidR="004A60BF" w:rsidRPr="00DF2EDF" w:rsidRDefault="00C205C5" w:rsidP="00DF2EDF">
      <w:pPr>
        <w:pStyle w:val="ListParagraph"/>
        <w:numPr>
          <w:ilvl w:val="0"/>
          <w:numId w:val="47"/>
        </w:numPr>
        <w:spacing w:after="0" w:line="240" w:lineRule="auto"/>
        <w:ind w:left="0" w:firstLine="720"/>
        <w:jc w:val="both"/>
        <w:rPr>
          <w:rFonts w:ascii="Cambria" w:hAnsi="Cambria"/>
          <w:sz w:val="20"/>
          <w:szCs w:val="20"/>
        </w:rPr>
      </w:pPr>
      <w:r w:rsidRPr="00DF2EDF">
        <w:rPr>
          <w:rFonts w:ascii="Cambria" w:hAnsi="Cambria"/>
          <w:sz w:val="20"/>
          <w:szCs w:val="20"/>
        </w:rPr>
        <w:t xml:space="preserve">On </w:t>
      </w:r>
      <w:r w:rsidR="00077368">
        <w:rPr>
          <w:rFonts w:ascii="Cambria" w:hAnsi="Cambria"/>
          <w:sz w:val="20"/>
          <w:szCs w:val="20"/>
        </w:rPr>
        <w:t>July 24</w:t>
      </w:r>
      <w:r w:rsidRPr="00DF2EDF">
        <w:rPr>
          <w:rFonts w:ascii="Cambria" w:hAnsi="Cambria"/>
          <w:sz w:val="20"/>
          <w:szCs w:val="20"/>
        </w:rPr>
        <w:t>, 20</w:t>
      </w:r>
      <w:r w:rsidR="004A60BF">
        <w:rPr>
          <w:rFonts w:ascii="Cambria" w:hAnsi="Cambria"/>
          <w:sz w:val="20"/>
          <w:szCs w:val="20"/>
        </w:rPr>
        <w:t>15</w:t>
      </w:r>
      <w:r w:rsidRPr="00DF2EDF">
        <w:rPr>
          <w:rFonts w:ascii="Cambria" w:hAnsi="Cambria"/>
          <w:sz w:val="20"/>
          <w:szCs w:val="20"/>
        </w:rPr>
        <w:t xml:space="preserve">, the IACHR published Report No. </w:t>
      </w:r>
      <w:r w:rsidR="00AF3E99">
        <w:rPr>
          <w:rFonts w:ascii="Cambria" w:hAnsi="Cambria"/>
          <w:sz w:val="20"/>
          <w:szCs w:val="20"/>
        </w:rPr>
        <w:t>38</w:t>
      </w:r>
      <w:r w:rsidRPr="00DF2EDF">
        <w:rPr>
          <w:rFonts w:ascii="Cambria" w:hAnsi="Cambria"/>
          <w:sz w:val="20"/>
          <w:szCs w:val="20"/>
        </w:rPr>
        <w:t>/</w:t>
      </w:r>
      <w:r w:rsidR="00AF3E99">
        <w:rPr>
          <w:rFonts w:ascii="Cambria" w:hAnsi="Cambria"/>
          <w:sz w:val="20"/>
          <w:szCs w:val="20"/>
        </w:rPr>
        <w:t>15</w:t>
      </w:r>
      <w:r w:rsidRPr="00DF2EDF">
        <w:rPr>
          <w:rFonts w:ascii="Cambria" w:hAnsi="Cambria"/>
          <w:sz w:val="20"/>
          <w:szCs w:val="20"/>
        </w:rPr>
        <w:t>, approving the friendly settlement agreement</w:t>
      </w:r>
      <w:r w:rsidR="004A60BF">
        <w:rPr>
          <w:rFonts w:ascii="Cambria" w:hAnsi="Cambria"/>
          <w:sz w:val="20"/>
          <w:szCs w:val="20"/>
        </w:rPr>
        <w:t>.</w:t>
      </w:r>
    </w:p>
    <w:p w14:paraId="0D0D4146" w14:textId="77777777" w:rsidR="00F9344E" w:rsidRPr="00550B55" w:rsidRDefault="00F9344E" w:rsidP="00DF2EDF">
      <w:pPr>
        <w:pStyle w:val="ListParagraph"/>
        <w:ind w:left="1440"/>
        <w:rPr>
          <w:rFonts w:eastAsia="Batang"/>
          <w:highlight w:val="yellow"/>
        </w:rPr>
      </w:pPr>
    </w:p>
    <w:p w14:paraId="554FEE1F" w14:textId="77777777" w:rsidR="001541D4" w:rsidRPr="007175E2" w:rsidRDefault="001541D4" w:rsidP="00637AFB">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0F6851"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DF2EDF" w:rsidRDefault="003E6F57" w:rsidP="00F024F0">
            <w:pPr>
              <w:tabs>
                <w:tab w:val="center" w:pos="2049"/>
              </w:tabs>
              <w:spacing w:after="0" w:line="240" w:lineRule="auto"/>
              <w:jc w:val="center"/>
              <w:rPr>
                <w:rFonts w:ascii="Cambria" w:eastAsia="Batang" w:hAnsi="Cambria"/>
                <w:b/>
                <w:color w:val="000000"/>
                <w:sz w:val="20"/>
                <w:szCs w:val="20"/>
              </w:rPr>
            </w:pPr>
            <w:r w:rsidRPr="00DF2EDF">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DF2EDF" w:rsidRDefault="003E6F57" w:rsidP="00F024F0">
            <w:pPr>
              <w:spacing w:after="0" w:line="240" w:lineRule="auto"/>
              <w:jc w:val="center"/>
              <w:rPr>
                <w:rFonts w:ascii="Cambria" w:eastAsia="Batang" w:hAnsi="Cambria"/>
                <w:b/>
                <w:color w:val="000000"/>
                <w:sz w:val="20"/>
                <w:szCs w:val="20"/>
              </w:rPr>
            </w:pPr>
            <w:r w:rsidRPr="00DF2EDF">
              <w:rPr>
                <w:rFonts w:ascii="Cambria" w:eastAsia="Batang" w:hAnsi="Cambria"/>
                <w:b/>
                <w:color w:val="000000"/>
                <w:sz w:val="20"/>
                <w:szCs w:val="20"/>
              </w:rPr>
              <w:t xml:space="preserve">Status of Implementation </w:t>
            </w:r>
          </w:p>
        </w:tc>
      </w:tr>
      <w:tr w:rsidR="00B554FC" w:rsidRPr="000F6851" w14:paraId="7FF98348"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42E9E6B3" w14:textId="77777777" w:rsidR="00B554FC" w:rsidRPr="00DF2EDF" w:rsidRDefault="00B554FC" w:rsidP="00B554FC">
            <w:pPr>
              <w:spacing w:after="0" w:line="240" w:lineRule="auto"/>
              <w:jc w:val="both"/>
              <w:rPr>
                <w:rFonts w:ascii="Cambria" w:eastAsia="Batang" w:hAnsi="Cambria"/>
                <w:b/>
                <w:bCs/>
                <w:color w:val="080808"/>
                <w:sz w:val="20"/>
                <w:szCs w:val="20"/>
              </w:rPr>
            </w:pPr>
            <w:r w:rsidRPr="00DF2EDF">
              <w:rPr>
                <w:rFonts w:ascii="Cambria" w:eastAsia="Batang" w:hAnsi="Cambria"/>
                <w:b/>
                <w:bCs/>
                <w:color w:val="080808"/>
                <w:sz w:val="20"/>
                <w:szCs w:val="20"/>
              </w:rPr>
              <w:t xml:space="preserve">FIRST: RECOGNITION OF RESPONSIBILITY </w:t>
            </w:r>
          </w:p>
          <w:p w14:paraId="377599E5" w14:textId="22444BE1" w:rsidR="00B554FC" w:rsidRPr="00DF2EDF" w:rsidRDefault="00B554FC" w:rsidP="00B554FC">
            <w:pPr>
              <w:spacing w:after="0" w:line="240" w:lineRule="auto"/>
              <w:jc w:val="both"/>
              <w:rPr>
                <w:rFonts w:ascii="Cambria" w:eastAsia="Batang" w:hAnsi="Cambria"/>
                <w:color w:val="080808"/>
                <w:sz w:val="20"/>
                <w:szCs w:val="20"/>
              </w:rPr>
            </w:pPr>
            <w:r w:rsidRPr="00DF2EDF">
              <w:rPr>
                <w:rFonts w:ascii="Cambria" w:eastAsia="Batang" w:hAnsi="Cambria"/>
                <w:color w:val="080808"/>
                <w:sz w:val="20"/>
                <w:szCs w:val="20"/>
              </w:rPr>
              <w:lastRenderedPageBreak/>
              <w:t>The Colombian State recognizes its international responsibility for the violation of the rights enshrined in Article 4 (right to life) […]</w:t>
            </w:r>
          </w:p>
        </w:tc>
        <w:tc>
          <w:tcPr>
            <w:tcW w:w="1985" w:type="dxa"/>
            <w:tcBorders>
              <w:top w:val="single" w:sz="4" w:space="0" w:color="auto"/>
              <w:left w:val="single" w:sz="4" w:space="0" w:color="auto"/>
              <w:bottom w:val="single" w:sz="4" w:space="0" w:color="auto"/>
              <w:right w:val="single" w:sz="4" w:space="0" w:color="auto"/>
            </w:tcBorders>
            <w:vAlign w:val="center"/>
          </w:tcPr>
          <w:p w14:paraId="359DC0C8" w14:textId="757F9218" w:rsidR="00B554FC" w:rsidRPr="00DF2EDF" w:rsidRDefault="00B554FC" w:rsidP="00550B55">
            <w:pPr>
              <w:spacing w:after="0" w:line="240" w:lineRule="auto"/>
              <w:jc w:val="center"/>
              <w:rPr>
                <w:rFonts w:ascii="Cambria" w:eastAsia="Batang" w:hAnsi="Cambria"/>
                <w:b/>
                <w:color w:val="000000"/>
                <w:sz w:val="20"/>
                <w:szCs w:val="20"/>
                <w:lang w:eastAsia="es-ES_tradnl"/>
              </w:rPr>
            </w:pPr>
            <w:r w:rsidRPr="00DF2EDF">
              <w:rPr>
                <w:rFonts w:ascii="Cambria" w:eastAsia="Batang" w:hAnsi="Cambria"/>
                <w:b/>
                <w:color w:val="000000"/>
                <w:sz w:val="20"/>
                <w:szCs w:val="20"/>
                <w:lang w:eastAsia="es-ES_tradnl"/>
              </w:rPr>
              <w:lastRenderedPageBreak/>
              <w:t>Declarative clause</w:t>
            </w:r>
          </w:p>
        </w:tc>
      </w:tr>
      <w:tr w:rsidR="00550B55" w:rsidRPr="000F6851" w14:paraId="05E01043"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175A141B" w14:textId="77777777" w:rsidR="00B554FC" w:rsidRPr="00DF2EDF" w:rsidRDefault="00B554FC" w:rsidP="00B554FC">
            <w:pPr>
              <w:spacing w:after="0" w:line="240" w:lineRule="auto"/>
              <w:jc w:val="both"/>
              <w:rPr>
                <w:rFonts w:ascii="Cambria" w:eastAsia="Batang" w:hAnsi="Cambria"/>
                <w:b/>
                <w:bCs/>
                <w:color w:val="080808"/>
                <w:sz w:val="20"/>
                <w:szCs w:val="20"/>
              </w:rPr>
            </w:pPr>
            <w:r w:rsidRPr="00DF2EDF">
              <w:rPr>
                <w:rFonts w:ascii="Cambria" w:eastAsia="Batang" w:hAnsi="Cambria"/>
                <w:b/>
                <w:bCs/>
                <w:color w:val="080808"/>
                <w:sz w:val="20"/>
                <w:szCs w:val="20"/>
              </w:rPr>
              <w:t>SECOND: ON THE SUBJECT OF JUSTICE</w:t>
            </w:r>
          </w:p>
          <w:p w14:paraId="30F40E5F" w14:textId="77373919" w:rsidR="00550B55" w:rsidRPr="00DF2EDF" w:rsidRDefault="00B554FC" w:rsidP="00B554FC">
            <w:pPr>
              <w:spacing w:after="0" w:line="240" w:lineRule="auto"/>
              <w:jc w:val="both"/>
              <w:rPr>
                <w:rFonts w:ascii="Cambria" w:eastAsia="Batang" w:hAnsi="Cambria"/>
                <w:color w:val="080808"/>
                <w:sz w:val="20"/>
                <w:szCs w:val="20"/>
              </w:rPr>
            </w:pPr>
            <w:r w:rsidRPr="00DF2EDF">
              <w:rPr>
                <w:rFonts w:ascii="Cambria" w:eastAsia="Batang" w:hAnsi="Cambria"/>
                <w:color w:val="080808"/>
                <w:sz w:val="20"/>
                <w:szCs w:val="20"/>
              </w:rPr>
              <w:t>The parties recognize the progress made in the area of justice in the instant case. Nonetheless, the State undertakes to continue to honor its obligation to investigate, try and punish those responsible for the crimes.</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491E5C8C" w:rsidR="00550B55" w:rsidRPr="00DF2EDF" w:rsidRDefault="00520911" w:rsidP="00550B55">
            <w:pPr>
              <w:spacing w:after="0" w:line="240" w:lineRule="auto"/>
              <w:jc w:val="center"/>
              <w:rPr>
                <w:rFonts w:ascii="Cambria" w:hAnsi="Cambria"/>
                <w:b/>
                <w:sz w:val="20"/>
                <w:szCs w:val="20"/>
              </w:rPr>
            </w:pPr>
            <w:r w:rsidRPr="00DF2EDF">
              <w:rPr>
                <w:rFonts w:ascii="Cambria" w:eastAsia="Batang" w:hAnsi="Cambria"/>
                <w:b/>
                <w:color w:val="000000"/>
                <w:sz w:val="20"/>
                <w:szCs w:val="20"/>
                <w:lang w:eastAsia="es-ES_tradnl"/>
              </w:rPr>
              <w:t>Total</w:t>
            </w:r>
            <w:r w:rsidRPr="00DF2EDF">
              <w:rPr>
                <w:rFonts w:ascii="Cambria" w:eastAsia="Batang" w:hAnsi="Cambria"/>
                <w:b/>
                <w:color w:val="000000"/>
                <w:sz w:val="20"/>
                <w:szCs w:val="20"/>
                <w:vertAlign w:val="superscript"/>
                <w:lang w:eastAsia="es-ES_tradnl"/>
              </w:rPr>
              <w:footnoteReference w:id="1"/>
            </w:r>
          </w:p>
        </w:tc>
      </w:tr>
      <w:tr w:rsidR="00550B55" w:rsidRPr="000F6851" w14:paraId="0C4AA553" w14:textId="77777777" w:rsidTr="00550B55">
        <w:trPr>
          <w:trHeight w:val="2008"/>
          <w:jc w:val="center"/>
        </w:trPr>
        <w:tc>
          <w:tcPr>
            <w:tcW w:w="7371" w:type="dxa"/>
            <w:tcBorders>
              <w:top w:val="single" w:sz="4" w:space="0" w:color="auto"/>
              <w:left w:val="single" w:sz="4" w:space="0" w:color="auto"/>
              <w:bottom w:val="single" w:sz="4" w:space="0" w:color="auto"/>
              <w:right w:val="single" w:sz="4" w:space="0" w:color="auto"/>
            </w:tcBorders>
            <w:vAlign w:val="center"/>
          </w:tcPr>
          <w:p w14:paraId="14ED36CD" w14:textId="77777777" w:rsidR="00520911" w:rsidRPr="00DF2EDF" w:rsidRDefault="00520911" w:rsidP="00520911">
            <w:pPr>
              <w:spacing w:after="0" w:line="240" w:lineRule="auto"/>
              <w:ind w:right="-18"/>
              <w:jc w:val="both"/>
              <w:rPr>
                <w:rFonts w:ascii="Cambria" w:hAnsi="Cambria"/>
                <w:b/>
                <w:bCs/>
                <w:color w:val="000000"/>
                <w:kern w:val="36"/>
                <w:sz w:val="20"/>
                <w:szCs w:val="20"/>
              </w:rPr>
            </w:pPr>
            <w:r w:rsidRPr="00DF2EDF">
              <w:rPr>
                <w:rFonts w:ascii="Cambria" w:hAnsi="Cambria"/>
                <w:b/>
                <w:color w:val="000000"/>
                <w:kern w:val="36"/>
                <w:sz w:val="20"/>
                <w:szCs w:val="20"/>
              </w:rPr>
              <w:t xml:space="preserve">THIRD: MEASURES OF SATISFACTION AND REHABILITATION </w:t>
            </w:r>
          </w:p>
          <w:p w14:paraId="32270EBB" w14:textId="49030BEC" w:rsidR="00520911" w:rsidRPr="00DF2EDF" w:rsidRDefault="00520911" w:rsidP="00520911">
            <w:pPr>
              <w:spacing w:after="0" w:line="240" w:lineRule="auto"/>
              <w:ind w:right="-18"/>
              <w:jc w:val="both"/>
              <w:rPr>
                <w:rFonts w:ascii="Cambria" w:hAnsi="Cambria"/>
                <w:bCs/>
                <w:color w:val="000000"/>
                <w:kern w:val="36"/>
                <w:sz w:val="20"/>
                <w:szCs w:val="20"/>
              </w:rPr>
            </w:pPr>
            <w:r w:rsidRPr="00DF2EDF">
              <w:rPr>
                <w:rFonts w:ascii="Cambria" w:hAnsi="Cambria"/>
                <w:bCs/>
                <w:color w:val="000000"/>
                <w:kern w:val="36"/>
                <w:sz w:val="20"/>
                <w:szCs w:val="20"/>
              </w:rPr>
              <w:t xml:space="preserve">The State undertakes to implement the following measures of satisfaction: </w:t>
            </w:r>
          </w:p>
          <w:p w14:paraId="3ED677E8" w14:textId="77777777" w:rsidR="00E0051B" w:rsidRPr="00DF2EDF" w:rsidRDefault="00E0051B" w:rsidP="00520911">
            <w:pPr>
              <w:spacing w:after="0" w:line="240" w:lineRule="auto"/>
              <w:ind w:right="-18"/>
              <w:jc w:val="both"/>
              <w:rPr>
                <w:rFonts w:ascii="Cambria" w:hAnsi="Cambria"/>
                <w:bCs/>
                <w:color w:val="000000"/>
                <w:kern w:val="36"/>
                <w:sz w:val="20"/>
                <w:szCs w:val="20"/>
              </w:rPr>
            </w:pPr>
          </w:p>
          <w:p w14:paraId="306E6901" w14:textId="146697B3" w:rsidR="00520911" w:rsidRPr="00DF2EDF" w:rsidRDefault="00520911" w:rsidP="00520911">
            <w:pPr>
              <w:spacing w:after="0" w:line="240" w:lineRule="auto"/>
              <w:ind w:right="-18"/>
              <w:jc w:val="both"/>
              <w:rPr>
                <w:rFonts w:ascii="Cambria" w:hAnsi="Cambria"/>
                <w:bCs/>
                <w:color w:val="000000"/>
                <w:kern w:val="36"/>
                <w:sz w:val="20"/>
                <w:szCs w:val="20"/>
              </w:rPr>
            </w:pPr>
            <w:r w:rsidRPr="00DF2EDF">
              <w:rPr>
                <w:rFonts w:ascii="Cambria" w:hAnsi="Cambria"/>
                <w:bCs/>
                <w:color w:val="000000"/>
                <w:kern w:val="36"/>
                <w:sz w:val="20"/>
                <w:szCs w:val="20"/>
              </w:rPr>
              <w:t xml:space="preserve">• An act of public apology in the municipality of Segovia, Department of Antioquia, presided over by a high-ranking government official, with the participation of public officials and the next of kin of the victims. At this ceremony, the State will acknowledge liability as set forth in the instant agreement. This measure shall be carried out within one year of the date of the signing of the instant Agreement and will be entrusted to the Comprehensive Victim Support and Reparation Unit. </w:t>
            </w:r>
          </w:p>
          <w:p w14:paraId="0E34A83C" w14:textId="16BF2009" w:rsidR="00550B55" w:rsidRPr="00DF2EDF" w:rsidRDefault="00520911" w:rsidP="00520911">
            <w:pPr>
              <w:pStyle w:val="BodyTextIndent"/>
              <w:spacing w:after="0"/>
              <w:ind w:left="0" w:right="-18"/>
              <w:jc w:val="both"/>
              <w:rPr>
                <w:color w:val="000000"/>
                <w:sz w:val="20"/>
                <w:szCs w:val="20"/>
              </w:rPr>
            </w:pPr>
            <w:r w:rsidRPr="00DF2EDF">
              <w:rPr>
                <w:rFonts w:eastAsia="Calibri" w:cs="Times New Roman"/>
                <w:bCs/>
                <w:color w:val="000000"/>
                <w:kern w:val="36"/>
                <w:sz w:val="20"/>
                <w:szCs w:val="20"/>
              </w:rPr>
              <w:t>• The State undertakes to assist the victims of the instant case in gaining access to reparation plans, programs and projects offered by the Colombian State using a model of comprehensive care, assistance and reparation of victims implemented by the Comprehensive Victim Support and Reparation Unit. Actions implemented in the framework of this roadmap to full reparation will include: i) measures of physical, mental, psychosocial and social rehabilitation and</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6923D7ED" w:rsidR="00550B55" w:rsidRPr="00DF2EDF" w:rsidRDefault="00E0051B" w:rsidP="00550B55">
            <w:pPr>
              <w:spacing w:after="0" w:line="240" w:lineRule="auto"/>
              <w:jc w:val="center"/>
              <w:rPr>
                <w:rFonts w:ascii="Cambria" w:hAnsi="Cambria"/>
                <w:b/>
                <w:color w:val="000000"/>
                <w:sz w:val="20"/>
                <w:szCs w:val="20"/>
              </w:rPr>
            </w:pPr>
            <w:r w:rsidRPr="00DF2EDF">
              <w:rPr>
                <w:rFonts w:ascii="Cambria" w:hAnsi="Cambria"/>
                <w:b/>
                <w:color w:val="000000"/>
                <w:sz w:val="20"/>
                <w:szCs w:val="20"/>
              </w:rPr>
              <w:t>Total</w:t>
            </w:r>
            <w:r w:rsidRPr="00DF2EDF">
              <w:rPr>
                <w:rStyle w:val="FootnoteReference"/>
                <w:rFonts w:ascii="Cambria" w:hAnsi="Cambria"/>
                <w:b/>
                <w:color w:val="000000"/>
                <w:sz w:val="20"/>
                <w:szCs w:val="20"/>
              </w:rPr>
              <w:footnoteReference w:id="2"/>
            </w:r>
          </w:p>
        </w:tc>
      </w:tr>
      <w:tr w:rsidR="00E0051B" w:rsidRPr="000F6851" w14:paraId="375A4668" w14:textId="77777777" w:rsidTr="00E0051B">
        <w:trPr>
          <w:trHeight w:val="983"/>
          <w:jc w:val="center"/>
        </w:trPr>
        <w:tc>
          <w:tcPr>
            <w:tcW w:w="7371" w:type="dxa"/>
            <w:tcBorders>
              <w:top w:val="single" w:sz="4" w:space="0" w:color="auto"/>
              <w:left w:val="single" w:sz="4" w:space="0" w:color="auto"/>
              <w:bottom w:val="single" w:sz="4" w:space="0" w:color="auto"/>
              <w:right w:val="single" w:sz="4" w:space="0" w:color="auto"/>
            </w:tcBorders>
            <w:vAlign w:val="center"/>
          </w:tcPr>
          <w:p w14:paraId="1E55BBEA" w14:textId="671BE38F" w:rsidR="00E0051B" w:rsidRPr="00DF2EDF" w:rsidRDefault="00E0051B" w:rsidP="00520911">
            <w:pPr>
              <w:spacing w:after="0" w:line="240" w:lineRule="auto"/>
              <w:ind w:right="-18"/>
              <w:jc w:val="both"/>
              <w:rPr>
                <w:rFonts w:ascii="Cambria" w:hAnsi="Cambria"/>
                <w:bCs/>
                <w:color w:val="000000"/>
                <w:kern w:val="36"/>
                <w:sz w:val="20"/>
                <w:szCs w:val="20"/>
              </w:rPr>
            </w:pPr>
            <w:r w:rsidRPr="00DF2EDF">
              <w:rPr>
                <w:rFonts w:ascii="Cambria" w:hAnsi="Cambria"/>
                <w:bCs/>
                <w:color w:val="000000"/>
                <w:kern w:val="36"/>
                <w:sz w:val="20"/>
                <w:szCs w:val="20"/>
              </w:rPr>
              <w:t>ii) Measures of symbolic reparation such as actions relating to the historic record or memory and commemorations that will be arranged by consensus with the victims and their representatives.</w:t>
            </w:r>
          </w:p>
        </w:tc>
        <w:tc>
          <w:tcPr>
            <w:tcW w:w="1985" w:type="dxa"/>
            <w:tcBorders>
              <w:top w:val="single" w:sz="4" w:space="0" w:color="auto"/>
              <w:left w:val="single" w:sz="4" w:space="0" w:color="auto"/>
              <w:bottom w:val="single" w:sz="4" w:space="0" w:color="auto"/>
              <w:right w:val="single" w:sz="4" w:space="0" w:color="auto"/>
            </w:tcBorders>
            <w:vAlign w:val="center"/>
          </w:tcPr>
          <w:p w14:paraId="5A16CA43" w14:textId="6FD7D752" w:rsidR="00E0051B" w:rsidRPr="00DF2EDF" w:rsidRDefault="00E0051B" w:rsidP="00550B55">
            <w:pPr>
              <w:spacing w:after="0" w:line="240" w:lineRule="auto"/>
              <w:jc w:val="center"/>
              <w:rPr>
                <w:rFonts w:ascii="Cambria" w:hAnsi="Cambria"/>
                <w:b/>
                <w:color w:val="000000"/>
                <w:sz w:val="20"/>
                <w:szCs w:val="20"/>
              </w:rPr>
            </w:pPr>
            <w:r w:rsidRPr="00DF2EDF">
              <w:rPr>
                <w:rFonts w:ascii="Cambria" w:hAnsi="Cambria"/>
                <w:b/>
                <w:color w:val="000000"/>
                <w:sz w:val="20"/>
                <w:szCs w:val="20"/>
              </w:rPr>
              <w:t>Total</w:t>
            </w:r>
            <w:r w:rsidRPr="00DF2EDF">
              <w:rPr>
                <w:rStyle w:val="FootnoteReference"/>
                <w:rFonts w:ascii="Cambria" w:hAnsi="Cambria"/>
                <w:b/>
                <w:color w:val="000000"/>
                <w:sz w:val="20"/>
                <w:szCs w:val="20"/>
              </w:rPr>
              <w:footnoteReference w:id="3"/>
            </w:r>
          </w:p>
        </w:tc>
      </w:tr>
      <w:tr w:rsidR="00E0051B" w:rsidRPr="000F6851" w14:paraId="21F25E42" w14:textId="77777777" w:rsidTr="00E0051B">
        <w:trPr>
          <w:trHeight w:val="1691"/>
          <w:jc w:val="center"/>
        </w:trPr>
        <w:tc>
          <w:tcPr>
            <w:tcW w:w="7371" w:type="dxa"/>
            <w:tcBorders>
              <w:top w:val="single" w:sz="4" w:space="0" w:color="auto"/>
              <w:left w:val="single" w:sz="4" w:space="0" w:color="auto"/>
              <w:bottom w:val="single" w:sz="4" w:space="0" w:color="auto"/>
              <w:right w:val="single" w:sz="4" w:space="0" w:color="auto"/>
            </w:tcBorders>
            <w:vAlign w:val="center"/>
          </w:tcPr>
          <w:p w14:paraId="6B464904" w14:textId="77777777" w:rsidR="00E0051B" w:rsidRPr="00DF2EDF" w:rsidRDefault="00E0051B" w:rsidP="00E0051B">
            <w:pPr>
              <w:spacing w:after="0" w:line="240" w:lineRule="auto"/>
              <w:ind w:right="-18"/>
              <w:jc w:val="both"/>
              <w:rPr>
                <w:rFonts w:ascii="Cambria" w:hAnsi="Cambria"/>
                <w:b/>
                <w:bCs/>
                <w:color w:val="000000"/>
                <w:kern w:val="36"/>
                <w:sz w:val="20"/>
                <w:szCs w:val="20"/>
              </w:rPr>
            </w:pPr>
            <w:r w:rsidRPr="00DF2EDF">
              <w:rPr>
                <w:rFonts w:ascii="Cambria" w:hAnsi="Cambria"/>
                <w:b/>
                <w:color w:val="000000"/>
                <w:kern w:val="36"/>
                <w:sz w:val="20"/>
                <w:szCs w:val="20"/>
              </w:rPr>
              <w:t xml:space="preserve">FOURTH: GUARANTEES OF NON-REPETITION </w:t>
            </w:r>
          </w:p>
          <w:p w14:paraId="7B937B1B" w14:textId="1892B160" w:rsidR="00E0051B" w:rsidRPr="00DF2EDF" w:rsidRDefault="00E0051B" w:rsidP="00E0051B">
            <w:pPr>
              <w:spacing w:after="0" w:line="240" w:lineRule="auto"/>
              <w:ind w:right="-18"/>
              <w:jc w:val="both"/>
              <w:rPr>
                <w:rFonts w:ascii="Cambria" w:hAnsi="Cambria"/>
                <w:bCs/>
                <w:color w:val="000000"/>
                <w:kern w:val="36"/>
                <w:sz w:val="20"/>
                <w:szCs w:val="20"/>
              </w:rPr>
            </w:pPr>
            <w:r w:rsidRPr="00DF2EDF">
              <w:rPr>
                <w:rFonts w:ascii="Cambria" w:hAnsi="Cambria"/>
                <w:bCs/>
                <w:color w:val="000000"/>
                <w:kern w:val="36"/>
                <w:sz w:val="20"/>
                <w:szCs w:val="20"/>
              </w:rPr>
              <w:t xml:space="preserve">The Colombian State undertakes to continue imparting human rights and international humanitarian law education programs within the Colombian armed forces. It further undertakes to include the facts of the instant case as a topic of study and analysis at extracurricular training events on human rights in different training and instruction schools and academies. </w:t>
            </w:r>
          </w:p>
        </w:tc>
        <w:tc>
          <w:tcPr>
            <w:tcW w:w="1985" w:type="dxa"/>
            <w:tcBorders>
              <w:top w:val="single" w:sz="4" w:space="0" w:color="auto"/>
              <w:left w:val="single" w:sz="4" w:space="0" w:color="auto"/>
              <w:bottom w:val="single" w:sz="4" w:space="0" w:color="auto"/>
              <w:right w:val="single" w:sz="4" w:space="0" w:color="auto"/>
            </w:tcBorders>
            <w:vAlign w:val="center"/>
          </w:tcPr>
          <w:p w14:paraId="63E6A26F" w14:textId="04749914" w:rsidR="00E0051B" w:rsidRPr="00DF2EDF" w:rsidRDefault="00E0051B" w:rsidP="00550B55">
            <w:pPr>
              <w:spacing w:after="0" w:line="240" w:lineRule="auto"/>
              <w:jc w:val="center"/>
              <w:rPr>
                <w:rFonts w:ascii="Cambria" w:hAnsi="Cambria"/>
                <w:b/>
                <w:color w:val="000000"/>
                <w:sz w:val="20"/>
                <w:szCs w:val="20"/>
              </w:rPr>
            </w:pPr>
            <w:r w:rsidRPr="00DF2EDF">
              <w:rPr>
                <w:rFonts w:ascii="Cambria" w:hAnsi="Cambria"/>
                <w:b/>
                <w:color w:val="000000"/>
                <w:sz w:val="20"/>
                <w:szCs w:val="20"/>
              </w:rPr>
              <w:t>Total</w:t>
            </w:r>
            <w:r w:rsidRPr="00DF2EDF">
              <w:rPr>
                <w:rFonts w:ascii="Cambria" w:hAnsi="Cambria"/>
                <w:b/>
                <w:color w:val="000000"/>
                <w:sz w:val="20"/>
                <w:szCs w:val="20"/>
                <w:vertAlign w:val="superscript"/>
              </w:rPr>
              <w:footnoteReference w:id="4"/>
            </w:r>
          </w:p>
        </w:tc>
      </w:tr>
      <w:tr w:rsidR="00E0051B" w:rsidRPr="000F6851" w14:paraId="241EC6A9" w14:textId="77777777" w:rsidTr="00550B55">
        <w:trPr>
          <w:trHeight w:val="2008"/>
          <w:jc w:val="center"/>
        </w:trPr>
        <w:tc>
          <w:tcPr>
            <w:tcW w:w="7371" w:type="dxa"/>
            <w:tcBorders>
              <w:top w:val="single" w:sz="4" w:space="0" w:color="auto"/>
              <w:left w:val="single" w:sz="4" w:space="0" w:color="auto"/>
              <w:bottom w:val="single" w:sz="4" w:space="0" w:color="auto"/>
              <w:right w:val="single" w:sz="4" w:space="0" w:color="auto"/>
            </w:tcBorders>
            <w:vAlign w:val="center"/>
          </w:tcPr>
          <w:p w14:paraId="625464EB" w14:textId="77777777" w:rsidR="00E0051B" w:rsidRPr="00DF2EDF" w:rsidRDefault="00E0051B" w:rsidP="00E0051B">
            <w:pPr>
              <w:spacing w:after="0" w:line="240" w:lineRule="auto"/>
              <w:ind w:right="-18"/>
              <w:jc w:val="both"/>
              <w:rPr>
                <w:rFonts w:ascii="Cambria" w:hAnsi="Cambria"/>
                <w:b/>
                <w:bCs/>
                <w:color w:val="000000"/>
                <w:kern w:val="36"/>
                <w:sz w:val="20"/>
                <w:szCs w:val="20"/>
              </w:rPr>
            </w:pPr>
            <w:r w:rsidRPr="00DF2EDF">
              <w:rPr>
                <w:rFonts w:ascii="Cambria" w:hAnsi="Cambria"/>
                <w:b/>
                <w:color w:val="000000"/>
                <w:kern w:val="36"/>
                <w:sz w:val="20"/>
                <w:szCs w:val="20"/>
              </w:rPr>
              <w:t xml:space="preserve">FIFTH: MONETARY REPARATION </w:t>
            </w:r>
          </w:p>
          <w:p w14:paraId="1252A8CB" w14:textId="46EA5B7F" w:rsidR="00E0051B" w:rsidRPr="00DF2EDF" w:rsidRDefault="00E0051B" w:rsidP="00E0051B">
            <w:pPr>
              <w:spacing w:after="0" w:line="240" w:lineRule="auto"/>
              <w:ind w:right="-18"/>
              <w:jc w:val="both"/>
              <w:rPr>
                <w:rFonts w:ascii="Cambria" w:hAnsi="Cambria"/>
                <w:bCs/>
                <w:color w:val="000000"/>
                <w:kern w:val="36"/>
                <w:sz w:val="20"/>
                <w:szCs w:val="20"/>
              </w:rPr>
            </w:pPr>
            <w:r w:rsidRPr="00DF2EDF">
              <w:rPr>
                <w:rFonts w:ascii="Cambria" w:hAnsi="Cambria"/>
                <w:bCs/>
                <w:color w:val="000000"/>
                <w:kern w:val="36"/>
                <w:sz w:val="20"/>
                <w:szCs w:val="20"/>
              </w:rPr>
              <w:t xml:space="preserve">The State undertakes to enforce Law 288 of 1996, once the instant friendly settlement agreement is approved through the issuing of the Article 49 report under the ACHR, in order to redress any moral or material damages that may be proven to have been suffered by the victims’ next of kin, who offer proof of their legitimacy and who have not been compensated through the Administrative Courts. </w:t>
            </w:r>
          </w:p>
        </w:tc>
        <w:tc>
          <w:tcPr>
            <w:tcW w:w="1985" w:type="dxa"/>
            <w:tcBorders>
              <w:top w:val="single" w:sz="4" w:space="0" w:color="auto"/>
              <w:left w:val="single" w:sz="4" w:space="0" w:color="auto"/>
              <w:bottom w:val="single" w:sz="4" w:space="0" w:color="auto"/>
              <w:right w:val="single" w:sz="4" w:space="0" w:color="auto"/>
            </w:tcBorders>
            <w:vAlign w:val="center"/>
          </w:tcPr>
          <w:p w14:paraId="08223A2F" w14:textId="0D5149D3" w:rsidR="00E0051B" w:rsidRPr="00DF2EDF" w:rsidRDefault="00E0051B" w:rsidP="00550B55">
            <w:pPr>
              <w:spacing w:after="0" w:line="240" w:lineRule="auto"/>
              <w:jc w:val="center"/>
              <w:rPr>
                <w:rFonts w:ascii="Cambria" w:hAnsi="Cambria"/>
                <w:b/>
                <w:color w:val="000000"/>
                <w:sz w:val="20"/>
                <w:szCs w:val="20"/>
              </w:rPr>
            </w:pPr>
            <w:r w:rsidRPr="00DF2EDF">
              <w:rPr>
                <w:rFonts w:ascii="Cambria" w:hAnsi="Cambria"/>
                <w:b/>
                <w:color w:val="000000"/>
                <w:sz w:val="20"/>
                <w:szCs w:val="20"/>
              </w:rPr>
              <w:t>Total</w:t>
            </w:r>
            <w:r w:rsidRPr="00DF2EDF">
              <w:rPr>
                <w:rStyle w:val="FootnoteReference"/>
                <w:rFonts w:ascii="Cambria" w:hAnsi="Cambria"/>
                <w:b/>
                <w:color w:val="000000"/>
                <w:sz w:val="20"/>
                <w:szCs w:val="20"/>
              </w:rPr>
              <w:footnoteReference w:id="5"/>
            </w:r>
          </w:p>
        </w:tc>
      </w:tr>
    </w:tbl>
    <w:p w14:paraId="76569D6D" w14:textId="77777777" w:rsidR="003E6F57" w:rsidRDefault="003E6F57" w:rsidP="001541D4">
      <w:pPr>
        <w:spacing w:after="0" w:line="240" w:lineRule="auto"/>
        <w:ind w:left="709" w:right="4"/>
        <w:jc w:val="both"/>
        <w:rPr>
          <w:rFonts w:ascii="Cambria" w:eastAsia="MS Mincho" w:hAnsi="Cambria"/>
          <w:color w:val="000000"/>
          <w:highlight w:val="yellow"/>
        </w:rPr>
      </w:pPr>
    </w:p>
    <w:p w14:paraId="32943A7D" w14:textId="77777777" w:rsidR="0028361D" w:rsidRDefault="0028361D" w:rsidP="001541D4">
      <w:pPr>
        <w:spacing w:after="0" w:line="240" w:lineRule="auto"/>
        <w:ind w:left="709" w:right="4"/>
        <w:jc w:val="both"/>
        <w:rPr>
          <w:rFonts w:ascii="Cambria" w:eastAsia="MS Mincho" w:hAnsi="Cambria"/>
          <w:color w:val="000000"/>
          <w:highlight w:val="yellow"/>
        </w:rPr>
      </w:pPr>
    </w:p>
    <w:p w14:paraId="29E02A7D" w14:textId="77777777" w:rsidR="0028361D" w:rsidRDefault="0028361D" w:rsidP="001541D4">
      <w:pPr>
        <w:spacing w:after="0" w:line="240" w:lineRule="auto"/>
        <w:ind w:left="709" w:right="4"/>
        <w:jc w:val="both"/>
        <w:rPr>
          <w:rFonts w:ascii="Cambria" w:eastAsia="MS Mincho" w:hAnsi="Cambria"/>
          <w:color w:val="000000"/>
          <w:highlight w:val="yellow"/>
        </w:rPr>
      </w:pPr>
    </w:p>
    <w:p w14:paraId="7925FB64" w14:textId="77777777" w:rsidR="0028361D" w:rsidRPr="007175E2" w:rsidRDefault="0028361D" w:rsidP="001541D4">
      <w:pPr>
        <w:spacing w:after="0" w:line="240" w:lineRule="auto"/>
        <w:ind w:left="709" w:right="4"/>
        <w:jc w:val="both"/>
        <w:rPr>
          <w:rFonts w:ascii="Cambria" w:eastAsia="MS Mincho" w:hAnsi="Cambria"/>
          <w:color w:val="000000"/>
          <w:highlight w:val="yellow"/>
        </w:rPr>
      </w:pPr>
    </w:p>
    <w:p w14:paraId="73E24492" w14:textId="77777777" w:rsidR="003E6F57"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LEVEL OF COMPLIANCE OF THE CASE </w:t>
      </w:r>
    </w:p>
    <w:p w14:paraId="67E53F02"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3A981D1A" w14:textId="17B189D0" w:rsidR="00401DCE" w:rsidRPr="00DF2EDF" w:rsidRDefault="00401DCE" w:rsidP="00DF2EDF">
      <w:pPr>
        <w:pStyle w:val="ListParagraph"/>
        <w:numPr>
          <w:ilvl w:val="0"/>
          <w:numId w:val="47"/>
        </w:numPr>
        <w:autoSpaceDE w:val="0"/>
        <w:autoSpaceDN w:val="0"/>
        <w:adjustRightInd w:val="0"/>
        <w:spacing w:after="0" w:line="240" w:lineRule="auto"/>
        <w:ind w:left="0" w:firstLine="720"/>
        <w:jc w:val="both"/>
        <w:rPr>
          <w:rFonts w:ascii="Cambria" w:eastAsia="Batang" w:hAnsi="Cambria" w:cs="Calibri Light"/>
          <w:color w:val="000000"/>
          <w:sz w:val="20"/>
          <w:szCs w:val="20"/>
        </w:rPr>
      </w:pPr>
      <w:r w:rsidRPr="00DF2EDF">
        <w:rPr>
          <w:rFonts w:ascii="Cambria" w:hAnsi="Cambria"/>
          <w:color w:val="080808"/>
          <w:sz w:val="20"/>
          <w:szCs w:val="20"/>
        </w:rPr>
        <w:t>The Commission declared full compliance with the case and the ceasing of the follow-up of the friendly settlement agreement in the 2023 Annual Report.</w:t>
      </w:r>
    </w:p>
    <w:p w14:paraId="0BE1F76F"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6D61D9A6" w14:textId="5DE79CDB" w:rsidR="00401DCE" w:rsidRPr="007175E2" w:rsidRDefault="00401DCE"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INDIVIDUAL AND STRUCTURAL OUTCOMES OF THE CASE</w:t>
      </w:r>
    </w:p>
    <w:p w14:paraId="0F1E3E7C" w14:textId="77777777" w:rsidR="003E6F57" w:rsidRPr="007175E2" w:rsidRDefault="003E6F57" w:rsidP="00401DCE">
      <w:pPr>
        <w:spacing w:after="0" w:line="240" w:lineRule="auto"/>
        <w:contextualSpacing/>
        <w:jc w:val="both"/>
        <w:rPr>
          <w:rFonts w:ascii="Cambria" w:eastAsia="Batang" w:hAnsi="Cambria" w:cs="Calibri Light"/>
          <w:b/>
          <w:color w:val="000000"/>
        </w:rPr>
      </w:pPr>
    </w:p>
    <w:p w14:paraId="164FCF46" w14:textId="77777777" w:rsidR="003E6F57" w:rsidRPr="00DF2EDF" w:rsidRDefault="003E6F57" w:rsidP="00637AFB">
      <w:pPr>
        <w:numPr>
          <w:ilvl w:val="0"/>
          <w:numId w:val="38"/>
        </w:numPr>
        <w:spacing w:after="0" w:line="240" w:lineRule="auto"/>
        <w:ind w:left="1418" w:right="4" w:hanging="709"/>
        <w:contextualSpacing/>
        <w:jc w:val="both"/>
        <w:rPr>
          <w:rFonts w:ascii="Cambria" w:hAnsi="Cambria" w:cs="Calibri Light"/>
          <w:b/>
          <w:sz w:val="20"/>
          <w:szCs w:val="20"/>
        </w:rPr>
      </w:pPr>
      <w:r w:rsidRPr="00DF2EDF">
        <w:rPr>
          <w:rFonts w:ascii="Cambria" w:hAnsi="Cambria" w:cs="Calibri Light"/>
          <w:b/>
          <w:sz w:val="20"/>
          <w:szCs w:val="20"/>
        </w:rPr>
        <w:t>Individual outcomes of the case</w:t>
      </w:r>
    </w:p>
    <w:p w14:paraId="0ECF7B10" w14:textId="77777777" w:rsidR="003E6F57" w:rsidRPr="00DF2EDF" w:rsidRDefault="003E6F57" w:rsidP="003E6F57">
      <w:pPr>
        <w:spacing w:after="0" w:line="240" w:lineRule="auto"/>
        <w:ind w:left="1418" w:right="4" w:hanging="709"/>
        <w:contextualSpacing/>
        <w:jc w:val="both"/>
        <w:rPr>
          <w:rFonts w:ascii="Cambria" w:hAnsi="Cambria" w:cs="Calibri Light"/>
          <w:b/>
          <w:sz w:val="20"/>
          <w:szCs w:val="20"/>
        </w:rPr>
      </w:pPr>
    </w:p>
    <w:p w14:paraId="75AD6C01"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The State acknowledged the Colombian State’s international responsibility for its failure to guarantee the rights to life and personal integrity enshrined in the American Convention on Human Rights with respect to the victims deceased during the incidents of the massacre, as well as with respect to the victims who were injured.</w:t>
      </w:r>
    </w:p>
    <w:p w14:paraId="191563D8"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Actions were taken to investigate, try, and convict 5 servicemen and 4 civilians, sentencing them to between 18 and 26 years of prison and to the payment of fines ranging from 98 to 140 minimum monthly wages legally in force (</w:t>
      </w:r>
      <w:r w:rsidRPr="00DF2EDF">
        <w:rPr>
          <w:rFonts w:ascii="Cambria" w:eastAsia="Batang" w:hAnsi="Cambria"/>
          <w:bCs/>
          <w:i/>
          <w:color w:val="080808"/>
          <w:sz w:val="20"/>
          <w:szCs w:val="20"/>
        </w:rPr>
        <w:t>salarios mínimos mensuales legales vigentes—SMMLV</w:t>
      </w:r>
      <w:r w:rsidRPr="00DF2EDF">
        <w:rPr>
          <w:rFonts w:ascii="Cambria" w:eastAsia="Batang" w:hAnsi="Cambria"/>
          <w:bCs/>
          <w:color w:val="080808"/>
          <w:sz w:val="20"/>
          <w:szCs w:val="20"/>
        </w:rPr>
        <w:t>), as criminally responsible for the incidents.</w:t>
      </w:r>
    </w:p>
    <w:p w14:paraId="64A40426"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The following sessions were held: orientation sessions for the beneficiaries on July 1 and 3, 2015 in Segovia and Medellín; sessions on the contents of the agreement among the parties; and sessions on the ceremony of acknowledgement of responsibility, as well as on the dates and contents of the training provided to law enforcement officers.</w:t>
      </w:r>
    </w:p>
    <w:p w14:paraId="034005DE"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The ceremony extending public apologies was held in the municipality of Segovia, Department of Antioquia, presided by a high-ranking authority from the government, with the attendance of public authorities and the next-of-kin of the victims.</w:t>
      </w:r>
    </w:p>
    <w:p w14:paraId="4A2DC3E1"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With respect to the measures of satisfaction and rehabilitation, specifically with respect to physical, mental, and psycho-social rehabilitation measures, they have been implemented through the Program for Psycho-social and Comprehensive Healthcare Services to Victims (</w:t>
      </w:r>
      <w:r w:rsidRPr="00DF2EDF">
        <w:rPr>
          <w:rFonts w:ascii="Cambria" w:eastAsia="Batang" w:hAnsi="Cambria"/>
          <w:bCs/>
          <w:i/>
          <w:color w:val="080808"/>
          <w:sz w:val="20"/>
          <w:szCs w:val="20"/>
        </w:rPr>
        <w:t>Programa de Atención Psicosocial and Salud Integral a Víctimas—PAPSIVI</w:t>
      </w:r>
      <w:r w:rsidRPr="00DF2EDF">
        <w:rPr>
          <w:rFonts w:ascii="Cambria" w:eastAsia="Batang" w:hAnsi="Cambria"/>
          <w:bCs/>
          <w:color w:val="080808"/>
          <w:sz w:val="20"/>
          <w:szCs w:val="20"/>
        </w:rPr>
        <w:t>), which the Ministry of Health and Social Protection is in charge of.</w:t>
      </w:r>
    </w:p>
    <w:p w14:paraId="58C06B5A"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The State made the monetary reparation payment on behalf of 197 victims.</w:t>
      </w:r>
    </w:p>
    <w:p w14:paraId="68E339A7"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The State paid financial reparation to more than 90% of the beneficiaries in an amount totaling 550, 480, 848.94 pesos.</w:t>
      </w:r>
    </w:p>
    <w:p w14:paraId="7027B353"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The State has conducted investigation, trial, and (Tr. where applicable) sentencing procedures with respect of 11 members of the Security Forces (</w:t>
      </w:r>
      <w:r w:rsidRPr="00DF2EDF">
        <w:rPr>
          <w:rFonts w:ascii="Cambria" w:eastAsia="Batang" w:hAnsi="Cambria"/>
          <w:bCs/>
          <w:i/>
          <w:color w:val="080808"/>
          <w:sz w:val="20"/>
          <w:szCs w:val="20"/>
        </w:rPr>
        <w:t>Fuerza Pública</w:t>
      </w:r>
      <w:r w:rsidRPr="00DF2EDF">
        <w:rPr>
          <w:rFonts w:ascii="Cambria" w:eastAsia="Batang" w:hAnsi="Cambria"/>
          <w:bCs/>
          <w:color w:val="080808"/>
          <w:sz w:val="20"/>
          <w:szCs w:val="20"/>
        </w:rPr>
        <w:t>), 11 members of the United Self-Defense Forces of Colombia (AUC), and 1 civilian (a former Congressman). Of the 23 persons brought to trial, 14 were convicted and 1 acquitted (Colonel Hernando Navas Rubio's acquittal was confirmed by the Higher Court of Antioquia).</w:t>
      </w:r>
    </w:p>
    <w:p w14:paraId="3E177A6D"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On April 17, 2020, the second one-day counseling session for victims was conducted in connection with their inscription in the Consolidated Victims Registry.</w:t>
      </w:r>
    </w:p>
    <w:p w14:paraId="25C08A6E" w14:textId="77777777" w:rsidR="00D03A4D" w:rsidRPr="00DF2EDF" w:rsidRDefault="00D03A4D" w:rsidP="00D03A4D">
      <w:pPr>
        <w:numPr>
          <w:ilvl w:val="0"/>
          <w:numId w:val="6"/>
        </w:numPr>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The State made the payment of economic reparations in the amount of $2,370,549,042.81 (</w:t>
      </w:r>
      <w:r w:rsidRPr="00DF2EDF">
        <w:rPr>
          <w:rFonts w:ascii="Cambria" w:eastAsia="Batang" w:hAnsi="Cambria"/>
          <w:bCs/>
          <w:i/>
          <w:iCs/>
          <w:color w:val="080808"/>
          <w:sz w:val="20"/>
          <w:szCs w:val="20"/>
        </w:rPr>
        <w:t>pesos</w:t>
      </w:r>
      <w:r w:rsidRPr="00DF2EDF">
        <w:rPr>
          <w:rFonts w:ascii="Cambria" w:eastAsia="Batang" w:hAnsi="Cambria"/>
          <w:bCs/>
          <w:color w:val="080808"/>
          <w:sz w:val="20"/>
          <w:szCs w:val="20"/>
        </w:rPr>
        <w:t>) M/CTE, in favor of 32 beneficiaries.</w:t>
      </w:r>
    </w:p>
    <w:p w14:paraId="3CC7E559" w14:textId="77777777" w:rsidR="006F75AC" w:rsidRPr="00DF2EDF" w:rsidRDefault="006F75AC" w:rsidP="006F75AC">
      <w:pPr>
        <w:spacing w:after="0" w:line="240" w:lineRule="auto"/>
        <w:ind w:left="1418" w:right="4"/>
        <w:contextualSpacing/>
        <w:jc w:val="both"/>
        <w:rPr>
          <w:rFonts w:ascii="Cambria" w:eastAsia="Batang" w:hAnsi="Cambria"/>
          <w:color w:val="000000"/>
          <w:sz w:val="20"/>
          <w:szCs w:val="20"/>
        </w:rPr>
      </w:pPr>
    </w:p>
    <w:p w14:paraId="599C3DC9" w14:textId="77777777" w:rsidR="003E6F57" w:rsidRPr="00DF2EDF" w:rsidRDefault="003E6F57" w:rsidP="00637AFB">
      <w:pPr>
        <w:numPr>
          <w:ilvl w:val="0"/>
          <w:numId w:val="38"/>
        </w:numPr>
        <w:spacing w:after="0" w:line="240" w:lineRule="auto"/>
        <w:ind w:left="1418" w:right="4" w:hanging="709"/>
        <w:jc w:val="both"/>
        <w:rPr>
          <w:rFonts w:ascii="Cambria" w:eastAsia="MS Mincho" w:hAnsi="Cambria"/>
          <w:b/>
          <w:sz w:val="20"/>
          <w:szCs w:val="20"/>
          <w:lang w:eastAsia="es-ES_tradnl"/>
        </w:rPr>
      </w:pPr>
      <w:r w:rsidRPr="00DF2EDF">
        <w:rPr>
          <w:rFonts w:ascii="Cambria" w:eastAsia="MS Mincho" w:hAnsi="Cambria"/>
          <w:b/>
          <w:sz w:val="20"/>
          <w:szCs w:val="20"/>
          <w:lang w:eastAsia="es-ES_tradnl"/>
        </w:rPr>
        <w:t>Structural outcomes of the case</w:t>
      </w:r>
    </w:p>
    <w:p w14:paraId="59FB2C1F" w14:textId="77777777" w:rsidR="003E6F57" w:rsidRPr="00DF2EDF" w:rsidRDefault="003E6F57" w:rsidP="003E6F57">
      <w:pPr>
        <w:spacing w:after="0" w:line="240" w:lineRule="auto"/>
        <w:ind w:left="1418" w:right="4" w:hanging="709"/>
        <w:jc w:val="both"/>
        <w:rPr>
          <w:rFonts w:ascii="Cambria" w:eastAsia="MS Mincho" w:hAnsi="Cambria"/>
          <w:sz w:val="20"/>
          <w:szCs w:val="20"/>
          <w:lang w:eastAsia="es-ES_tradnl"/>
        </w:rPr>
      </w:pPr>
    </w:p>
    <w:p w14:paraId="709FB978" w14:textId="77777777" w:rsidR="00D03A4D" w:rsidRPr="00DF2EDF" w:rsidRDefault="00D03A4D" w:rsidP="00D03A4D">
      <w:pPr>
        <w:numPr>
          <w:ilvl w:val="0"/>
          <w:numId w:val="36"/>
        </w:numPr>
        <w:tabs>
          <w:tab w:val="left" w:pos="0"/>
        </w:tabs>
        <w:spacing w:after="0" w:line="240" w:lineRule="auto"/>
        <w:ind w:left="1418" w:right="4" w:hanging="709"/>
        <w:contextualSpacing/>
        <w:jc w:val="both"/>
        <w:rPr>
          <w:rFonts w:ascii="Cambria" w:eastAsia="Batang" w:hAnsi="Cambria"/>
          <w:bCs/>
          <w:color w:val="080808"/>
          <w:sz w:val="20"/>
          <w:szCs w:val="20"/>
        </w:rPr>
      </w:pPr>
      <w:r w:rsidRPr="00DF2EDF">
        <w:rPr>
          <w:rFonts w:ascii="Cambria" w:eastAsia="Batang" w:hAnsi="Cambria"/>
          <w:bCs/>
          <w:color w:val="080808"/>
          <w:sz w:val="20"/>
          <w:szCs w:val="20"/>
        </w:rPr>
        <w:t>The State held five training days aimed at law enforcement personnel using the factual contents of the case.</w:t>
      </w:r>
    </w:p>
    <w:p w14:paraId="3A9B12FA" w14:textId="77777777" w:rsidR="00D03A4D" w:rsidRPr="00DF2EDF" w:rsidRDefault="00D03A4D" w:rsidP="00D03A4D">
      <w:pPr>
        <w:numPr>
          <w:ilvl w:val="0"/>
          <w:numId w:val="36"/>
        </w:numPr>
        <w:tabs>
          <w:tab w:val="left" w:pos="0"/>
        </w:tabs>
        <w:spacing w:after="0" w:line="240" w:lineRule="auto"/>
        <w:ind w:left="1418" w:right="4" w:hanging="709"/>
        <w:contextualSpacing/>
        <w:jc w:val="both"/>
        <w:rPr>
          <w:rFonts w:ascii="Cambria" w:eastAsia="Batang" w:hAnsi="Cambria"/>
          <w:b/>
          <w:bCs/>
          <w:color w:val="080808"/>
          <w:sz w:val="20"/>
          <w:szCs w:val="20"/>
        </w:rPr>
      </w:pPr>
      <w:r w:rsidRPr="00DF2EDF">
        <w:rPr>
          <w:rFonts w:ascii="Cambria" w:eastAsia="Batang" w:hAnsi="Cambria"/>
          <w:bCs/>
          <w:iCs/>
          <w:color w:val="080808"/>
          <w:sz w:val="20"/>
          <w:szCs w:val="20"/>
        </w:rPr>
        <w:t>The State permanently installed an Infogram on the events of the Massacre in the central room of the Museum of Memory.</w:t>
      </w:r>
    </w:p>
    <w:p w14:paraId="6A33C753" w14:textId="77777777" w:rsidR="00D03A4D" w:rsidRPr="00DF2EDF" w:rsidRDefault="00D03A4D" w:rsidP="00D03A4D">
      <w:pPr>
        <w:numPr>
          <w:ilvl w:val="0"/>
          <w:numId w:val="36"/>
        </w:numPr>
        <w:tabs>
          <w:tab w:val="left" w:pos="0"/>
        </w:tabs>
        <w:spacing w:after="0" w:line="240" w:lineRule="auto"/>
        <w:ind w:left="1418" w:right="4" w:hanging="709"/>
        <w:contextualSpacing/>
        <w:jc w:val="both"/>
        <w:rPr>
          <w:rFonts w:ascii="Cambria" w:eastAsia="Batang" w:hAnsi="Cambria"/>
          <w:b/>
          <w:bCs/>
          <w:color w:val="080808"/>
          <w:sz w:val="20"/>
          <w:szCs w:val="20"/>
        </w:rPr>
      </w:pPr>
      <w:r w:rsidRPr="00DF2EDF">
        <w:rPr>
          <w:rFonts w:ascii="Cambria" w:eastAsia="Batang" w:hAnsi="Cambria"/>
          <w:bCs/>
          <w:color w:val="080808"/>
          <w:sz w:val="20"/>
          <w:szCs w:val="20"/>
        </w:rPr>
        <w:t>The State prosecuted 11 armed forces members, 11 members of the United Self-Defense Forces of Colombia and one civilian. Of the</w:t>
      </w:r>
      <w:r w:rsidRPr="00DF2EDF">
        <w:rPr>
          <w:rFonts w:ascii="Cambria" w:eastAsia="Batang" w:hAnsi="Cambria"/>
          <w:b/>
          <w:bCs/>
          <w:color w:val="080808"/>
          <w:sz w:val="20"/>
          <w:szCs w:val="20"/>
        </w:rPr>
        <w:t xml:space="preserve"> </w:t>
      </w:r>
      <w:r w:rsidRPr="00DF2EDF">
        <w:rPr>
          <w:rFonts w:ascii="Cambria" w:eastAsia="Batang" w:hAnsi="Cambria"/>
          <w:bCs/>
          <w:color w:val="080808"/>
          <w:sz w:val="20"/>
          <w:szCs w:val="20"/>
        </w:rPr>
        <w:t>23 persons prosecuted, 16 were convicted and one was acquitted.</w:t>
      </w:r>
    </w:p>
    <w:p w14:paraId="348955C8" w14:textId="6F8E8159" w:rsidR="003E6F57" w:rsidRPr="00DF2EDF" w:rsidRDefault="00D03A4D" w:rsidP="00D03A4D">
      <w:pPr>
        <w:numPr>
          <w:ilvl w:val="0"/>
          <w:numId w:val="36"/>
        </w:numPr>
        <w:tabs>
          <w:tab w:val="left" w:pos="0"/>
        </w:tabs>
        <w:spacing w:after="0" w:line="240" w:lineRule="auto"/>
        <w:ind w:left="1418" w:right="4" w:hanging="709"/>
        <w:contextualSpacing/>
        <w:jc w:val="both"/>
        <w:rPr>
          <w:rFonts w:ascii="Cambria" w:eastAsia="Batang" w:hAnsi="Cambria"/>
          <w:b/>
          <w:bCs/>
          <w:color w:val="080808"/>
          <w:sz w:val="20"/>
          <w:szCs w:val="20"/>
        </w:rPr>
      </w:pPr>
      <w:r w:rsidRPr="00DF2EDF">
        <w:rPr>
          <w:rFonts w:ascii="Cambria" w:eastAsia="Batang" w:hAnsi="Cambria"/>
          <w:bCs/>
          <w:color w:val="080808"/>
          <w:sz w:val="20"/>
          <w:szCs w:val="20"/>
        </w:rPr>
        <w:t>The investigations continue, outside the framework of the monitoring of this friendly settlement agreement, in macro–Cases No. 06 and 08 before the JEP.</w:t>
      </w:r>
    </w:p>
    <w:sectPr w:rsidR="003E6F57" w:rsidRPr="00DF2EDF" w:rsidSect="00E125C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ADBF" w14:textId="77777777" w:rsidR="003F5F19" w:rsidRDefault="003F5F19" w:rsidP="00A343FF">
      <w:pPr>
        <w:spacing w:after="0" w:line="240" w:lineRule="auto"/>
      </w:pPr>
      <w:r>
        <w:separator/>
      </w:r>
    </w:p>
  </w:endnote>
  <w:endnote w:type="continuationSeparator" w:id="0">
    <w:p w14:paraId="144EEA58" w14:textId="77777777" w:rsidR="003F5F19" w:rsidRDefault="003F5F19"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A77536"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E7A8" w14:textId="77777777" w:rsidR="003F5F19" w:rsidRDefault="003F5F19" w:rsidP="00A343FF">
      <w:pPr>
        <w:spacing w:after="0" w:line="240" w:lineRule="auto"/>
      </w:pPr>
      <w:r>
        <w:separator/>
      </w:r>
    </w:p>
  </w:footnote>
  <w:footnote w:type="continuationSeparator" w:id="0">
    <w:p w14:paraId="20083363" w14:textId="77777777" w:rsidR="003F5F19" w:rsidRDefault="003F5F19" w:rsidP="00A343FF">
      <w:pPr>
        <w:spacing w:after="0" w:line="240" w:lineRule="auto"/>
      </w:pPr>
      <w:r>
        <w:continuationSeparator/>
      </w:r>
    </w:p>
  </w:footnote>
  <w:footnote w:id="1">
    <w:p w14:paraId="2CD13550" w14:textId="77777777" w:rsidR="00520911" w:rsidRPr="00DF2EDF" w:rsidRDefault="00520911" w:rsidP="00520911">
      <w:pPr>
        <w:spacing w:after="0" w:line="240" w:lineRule="auto"/>
        <w:ind w:firstLine="720"/>
        <w:jc w:val="both"/>
        <w:rPr>
          <w:rFonts w:ascii="Cambria" w:hAnsi="Cambria"/>
          <w:sz w:val="16"/>
          <w:szCs w:val="16"/>
        </w:rPr>
      </w:pPr>
      <w:r w:rsidRPr="00DF2EDF">
        <w:rPr>
          <w:rStyle w:val="FootnoteReference"/>
          <w:rFonts w:ascii="Cambria" w:hAnsi="Cambria"/>
          <w:sz w:val="16"/>
          <w:szCs w:val="16"/>
        </w:rPr>
        <w:footnoteRef/>
      </w:r>
      <w:r w:rsidRPr="00DF2EDF">
        <w:rPr>
          <w:rFonts w:ascii="Cambria" w:hAnsi="Cambria"/>
          <w:sz w:val="16"/>
          <w:szCs w:val="16"/>
        </w:rPr>
        <w:t xml:space="preserve"> See IACHR, </w:t>
      </w:r>
      <w:r w:rsidRPr="00DF2EDF">
        <w:rPr>
          <w:rFonts w:ascii="Cambria" w:hAnsi="Cambria"/>
          <w:i/>
          <w:iCs/>
          <w:sz w:val="16"/>
          <w:szCs w:val="16"/>
        </w:rPr>
        <w:t>Annual Report 2022</w:t>
      </w:r>
      <w:r w:rsidRPr="00DF2EDF">
        <w:rPr>
          <w:rFonts w:ascii="Cambria" w:hAnsi="Cambria"/>
          <w:sz w:val="16"/>
          <w:szCs w:val="16"/>
        </w:rPr>
        <w:t xml:space="preserve">, Chapter II, Section C. Advances and regressions on negotiation and Implementation of Friendly Settlement Agreements. Available in: </w:t>
      </w:r>
      <w:hyperlink r:id="rId1" w:history="1">
        <w:r w:rsidRPr="00DF2EDF">
          <w:rPr>
            <w:rStyle w:val="Hyperlink"/>
            <w:rFonts w:ascii="Cambria" w:hAnsi="Cambria"/>
            <w:sz w:val="16"/>
            <w:szCs w:val="16"/>
          </w:rPr>
          <w:t>https://www.oas.org/en/iachr/docs/annual/2022/Chapters/4-IA2022_Cap_2_EN.pdf</w:t>
        </w:r>
      </w:hyperlink>
      <w:r w:rsidRPr="00DF2EDF">
        <w:rPr>
          <w:rFonts w:ascii="Cambria" w:hAnsi="Cambria"/>
          <w:sz w:val="16"/>
          <w:szCs w:val="16"/>
        </w:rPr>
        <w:t xml:space="preserve"> </w:t>
      </w:r>
    </w:p>
  </w:footnote>
  <w:footnote w:id="2">
    <w:p w14:paraId="1F1F92CA" w14:textId="77777777" w:rsidR="00E0051B" w:rsidRPr="0028361D" w:rsidRDefault="00E0051B" w:rsidP="00E0051B">
      <w:pPr>
        <w:pStyle w:val="FootnoteText"/>
        <w:tabs>
          <w:tab w:val="left" w:pos="180"/>
          <w:tab w:val="left" w:pos="270"/>
          <w:tab w:val="left" w:pos="360"/>
        </w:tabs>
        <w:ind w:firstLine="709"/>
        <w:jc w:val="both"/>
        <w:rPr>
          <w:rFonts w:ascii="Cambria" w:hAnsi="Cambria"/>
          <w:color w:val="000000"/>
          <w:sz w:val="16"/>
          <w:szCs w:val="16"/>
        </w:rPr>
      </w:pPr>
      <w:r w:rsidRPr="00DF2EDF">
        <w:rPr>
          <w:rStyle w:val="FootnoteReference"/>
          <w:rFonts w:ascii="Cambria" w:hAnsi="Cambria"/>
          <w:color w:val="000000"/>
          <w:sz w:val="16"/>
          <w:szCs w:val="16"/>
        </w:rPr>
        <w:footnoteRef/>
      </w:r>
      <w:r w:rsidRPr="00DF2EDF">
        <w:rPr>
          <w:rFonts w:ascii="Cambria" w:hAnsi="Cambria"/>
          <w:color w:val="000000"/>
          <w:sz w:val="16"/>
          <w:szCs w:val="16"/>
        </w:rPr>
        <w:t xml:space="preserve"> See IACHR, </w:t>
      </w:r>
      <w:r w:rsidRPr="00DF2EDF">
        <w:rPr>
          <w:rFonts w:ascii="Cambria" w:hAnsi="Cambria"/>
          <w:i/>
          <w:color w:val="000000"/>
          <w:sz w:val="16"/>
          <w:szCs w:val="16"/>
        </w:rPr>
        <w:t>2016 Annual Report</w:t>
      </w:r>
      <w:r w:rsidRPr="00DF2EDF">
        <w:rPr>
          <w:rFonts w:ascii="Cambria" w:hAnsi="Cambria"/>
          <w:color w:val="000000"/>
          <w:sz w:val="16"/>
          <w:szCs w:val="16"/>
        </w:rPr>
        <w:t>, Chapter II, Section D: Status of Compliance with the Recommendations and Friendly Settlements in Individual cases, paras. 694.</w:t>
      </w:r>
    </w:p>
  </w:footnote>
  <w:footnote w:id="3">
    <w:p w14:paraId="466C54E2" w14:textId="77777777" w:rsidR="00E0051B" w:rsidRPr="0028361D" w:rsidRDefault="00E0051B" w:rsidP="00E0051B">
      <w:pPr>
        <w:spacing w:after="0" w:line="240" w:lineRule="auto"/>
        <w:ind w:firstLine="720"/>
        <w:jc w:val="both"/>
        <w:rPr>
          <w:rFonts w:ascii="Cambria" w:hAnsi="Cambria"/>
          <w:sz w:val="16"/>
          <w:szCs w:val="16"/>
        </w:rPr>
      </w:pPr>
      <w:r w:rsidRPr="00DF2EDF">
        <w:rPr>
          <w:rStyle w:val="FootnoteReference"/>
          <w:rFonts w:ascii="Cambria" w:hAnsi="Cambria"/>
          <w:sz w:val="16"/>
          <w:szCs w:val="16"/>
        </w:rPr>
        <w:footnoteRef/>
      </w:r>
      <w:r w:rsidRPr="00DF2EDF">
        <w:rPr>
          <w:rFonts w:ascii="Cambria" w:hAnsi="Cambria"/>
          <w:sz w:val="16"/>
          <w:szCs w:val="16"/>
        </w:rPr>
        <w:t xml:space="preserve"> See IACHR, </w:t>
      </w:r>
      <w:r w:rsidRPr="00DF2EDF">
        <w:rPr>
          <w:rFonts w:ascii="Cambria" w:hAnsi="Cambria"/>
          <w:i/>
          <w:iCs/>
          <w:sz w:val="16"/>
          <w:szCs w:val="16"/>
        </w:rPr>
        <w:t>Annual Report 2022</w:t>
      </w:r>
      <w:r w:rsidRPr="00DF2EDF">
        <w:rPr>
          <w:rFonts w:ascii="Cambria" w:hAnsi="Cambria"/>
          <w:sz w:val="16"/>
          <w:szCs w:val="16"/>
        </w:rPr>
        <w:t xml:space="preserve">, Chapter II, Section C. Advances and regressions on negotiation and Implementation of Friendly Settlement Agreements. Available in: </w:t>
      </w:r>
      <w:hyperlink r:id="rId2" w:history="1">
        <w:r w:rsidRPr="00DF2EDF">
          <w:rPr>
            <w:rStyle w:val="Hyperlink"/>
            <w:rFonts w:ascii="Cambria" w:hAnsi="Cambria"/>
            <w:sz w:val="16"/>
            <w:szCs w:val="16"/>
          </w:rPr>
          <w:t>https://www.oas.org/en/iachr/docs/annual/2022/Chapters/4-IA2022_Cap_2_EN.pdf</w:t>
        </w:r>
      </w:hyperlink>
      <w:r w:rsidRPr="0028361D">
        <w:rPr>
          <w:rFonts w:ascii="Cambria" w:hAnsi="Cambria"/>
          <w:sz w:val="16"/>
          <w:szCs w:val="16"/>
        </w:rPr>
        <w:t xml:space="preserve"> </w:t>
      </w:r>
    </w:p>
  </w:footnote>
  <w:footnote w:id="4">
    <w:p w14:paraId="08215921" w14:textId="77777777" w:rsidR="00E0051B" w:rsidRPr="0028361D" w:rsidRDefault="00E0051B" w:rsidP="00D03A4D">
      <w:pPr>
        <w:pStyle w:val="FootnoteText"/>
        <w:tabs>
          <w:tab w:val="left" w:pos="180"/>
          <w:tab w:val="left" w:pos="270"/>
          <w:tab w:val="left" w:pos="360"/>
        </w:tabs>
        <w:ind w:firstLine="709"/>
        <w:jc w:val="both"/>
        <w:rPr>
          <w:rFonts w:ascii="Cambria" w:hAnsi="Cambria"/>
          <w:color w:val="000000"/>
          <w:sz w:val="16"/>
          <w:szCs w:val="16"/>
        </w:rPr>
      </w:pPr>
      <w:r w:rsidRPr="00DF2EDF">
        <w:rPr>
          <w:rStyle w:val="FootnoteReference"/>
          <w:rFonts w:ascii="Cambria" w:hAnsi="Cambria"/>
          <w:color w:val="000000"/>
          <w:sz w:val="16"/>
          <w:szCs w:val="16"/>
        </w:rPr>
        <w:footnoteRef/>
      </w:r>
      <w:r w:rsidRPr="00DF2EDF">
        <w:rPr>
          <w:rFonts w:ascii="Cambria" w:hAnsi="Cambria"/>
          <w:color w:val="000000"/>
          <w:sz w:val="16"/>
          <w:szCs w:val="16"/>
        </w:rPr>
        <w:t xml:space="preserve"> See IACHR, </w:t>
      </w:r>
      <w:r w:rsidRPr="00DF2EDF">
        <w:rPr>
          <w:rFonts w:ascii="Cambria" w:hAnsi="Cambria"/>
          <w:i/>
          <w:color w:val="000000"/>
          <w:sz w:val="16"/>
          <w:szCs w:val="16"/>
        </w:rPr>
        <w:t>2016 Annual Report</w:t>
      </w:r>
      <w:r w:rsidRPr="00DF2EDF">
        <w:rPr>
          <w:rFonts w:ascii="Cambria" w:hAnsi="Cambria"/>
          <w:color w:val="000000"/>
          <w:sz w:val="16"/>
          <w:szCs w:val="16"/>
        </w:rPr>
        <w:t>, Chapter II, Section D: Status of the Compliance with the Recommendations and Friendly Settlements in Individual Cases, paras. 694.</w:t>
      </w:r>
    </w:p>
  </w:footnote>
  <w:footnote w:id="5">
    <w:p w14:paraId="0289EAFD" w14:textId="04B5E85A" w:rsidR="00E0051B" w:rsidRPr="00D03A4D" w:rsidRDefault="00E0051B" w:rsidP="00D03A4D">
      <w:pPr>
        <w:pStyle w:val="FootnoteText"/>
        <w:ind w:firstLine="709"/>
        <w:jc w:val="both"/>
        <w:rPr>
          <w:rFonts w:ascii="Cambria" w:hAnsi="Cambria"/>
          <w:sz w:val="16"/>
          <w:szCs w:val="16"/>
        </w:rPr>
      </w:pPr>
      <w:r w:rsidRPr="0028361D">
        <w:rPr>
          <w:rStyle w:val="FootnoteReference"/>
          <w:rFonts w:ascii="Cambria" w:hAnsi="Cambria"/>
          <w:sz w:val="16"/>
          <w:szCs w:val="16"/>
        </w:rPr>
        <w:footnoteRef/>
      </w:r>
      <w:r w:rsidRPr="0028361D">
        <w:rPr>
          <w:rFonts w:ascii="Cambria" w:hAnsi="Cambria"/>
          <w:sz w:val="16"/>
          <w:szCs w:val="16"/>
        </w:rPr>
        <w:t xml:space="preserve"> </w:t>
      </w:r>
      <w:r w:rsidR="00D03A4D" w:rsidRPr="00DF2EDF">
        <w:rPr>
          <w:rFonts w:ascii="Cambria" w:hAnsi="Cambria"/>
          <w:color w:val="000000"/>
          <w:sz w:val="16"/>
          <w:szCs w:val="16"/>
        </w:rPr>
        <w:t>See IACHR, 202</w:t>
      </w:r>
      <w:r w:rsidR="00873D78" w:rsidRPr="00DF2EDF">
        <w:rPr>
          <w:rFonts w:ascii="Cambria" w:hAnsi="Cambria"/>
          <w:color w:val="000000"/>
          <w:sz w:val="16"/>
          <w:szCs w:val="16"/>
        </w:rPr>
        <w:t>3</w:t>
      </w:r>
      <w:r w:rsidR="00D03A4D" w:rsidRPr="00DF2EDF">
        <w:rPr>
          <w:rFonts w:ascii="Cambria" w:hAnsi="Cambria"/>
          <w:color w:val="000000"/>
          <w:sz w:val="16"/>
          <w:szCs w:val="16"/>
        </w:rPr>
        <w:t xml:space="preserve"> Annual Report, Chapter II, Section </w:t>
      </w:r>
      <w:r w:rsidR="000625AE">
        <w:rPr>
          <w:rFonts w:ascii="Cambria" w:hAnsi="Cambria"/>
          <w:color w:val="000000"/>
          <w:sz w:val="16"/>
          <w:szCs w:val="16"/>
        </w:rPr>
        <w:t>C</w:t>
      </w:r>
      <w:r w:rsidR="00D03A4D" w:rsidRPr="00DF2EDF">
        <w:rPr>
          <w:rFonts w:ascii="Cambria" w:hAnsi="Cambria"/>
          <w:color w:val="000000"/>
          <w:sz w:val="16"/>
          <w:szCs w:val="16"/>
        </w:rPr>
        <w:t xml:space="preserve">. Advances and challenges on negotiation and implementation of friendly settlements, Available at: </w:t>
      </w:r>
      <w:hyperlink r:id="rId3" w:history="1">
        <w:r w:rsidR="0028361D" w:rsidRPr="0028361D">
          <w:rPr>
            <w:rStyle w:val="Hyperlink"/>
            <w:rFonts w:ascii="Cambria" w:hAnsi="Cambria"/>
            <w:sz w:val="16"/>
            <w:szCs w:val="16"/>
          </w:rPr>
          <w:t>https://www.oas.org/en/iachr/docs/annual/2023/chapters/IA2023_Cap_2_ENG.PDF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A77536">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A77536"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46898"/>
    <w:multiLevelType w:val="hybridMultilevel"/>
    <w:tmpl w:val="2DE614DE"/>
    <w:lvl w:ilvl="0" w:tplc="F42261C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443C"/>
    <w:multiLevelType w:val="multilevel"/>
    <w:tmpl w:val="D5ACA5C4"/>
    <w:lvl w:ilvl="0">
      <w:start w:val="1"/>
      <w:numFmt w:val="decimal"/>
      <w:lvlText w:val="%1."/>
      <w:lvlJc w:val="left"/>
      <w:pPr>
        <w:ind w:left="1080" w:hanging="360"/>
      </w:pPr>
      <w:rPr>
        <w:rFonts w:eastAsia="Arial" w:cs="Arial" w:hint="default"/>
        <w:b/>
        <w:color w:val="auto"/>
        <w:w w:val="105"/>
      </w:rPr>
    </w:lvl>
    <w:lvl w:ilvl="1">
      <w:start w:val="1"/>
      <w:numFmt w:val="decimal"/>
      <w:isLgl/>
      <w:lvlText w:val="%1.%2"/>
      <w:lvlJc w:val="left"/>
      <w:pPr>
        <w:ind w:left="2437" w:hanging="1245"/>
      </w:pPr>
      <w:rPr>
        <w:rFonts w:ascii="Cambria" w:hAnsi="Cambria" w:hint="default"/>
        <w:color w:val="FF0000"/>
        <w:sz w:val="20"/>
      </w:rPr>
    </w:lvl>
    <w:lvl w:ilvl="2">
      <w:start w:val="1"/>
      <w:numFmt w:val="decimal"/>
      <w:isLgl/>
      <w:lvlText w:val="%1.%2.%3"/>
      <w:lvlJc w:val="left"/>
      <w:pPr>
        <w:ind w:left="2909" w:hanging="1245"/>
      </w:pPr>
      <w:rPr>
        <w:rFonts w:ascii="Cambria" w:hAnsi="Cambria" w:hint="default"/>
        <w:color w:val="auto"/>
        <w:sz w:val="20"/>
      </w:rPr>
    </w:lvl>
    <w:lvl w:ilvl="3">
      <w:start w:val="1"/>
      <w:numFmt w:val="decimal"/>
      <w:isLgl/>
      <w:lvlText w:val="%1.%2.%3.%4"/>
      <w:lvlJc w:val="left"/>
      <w:pPr>
        <w:ind w:left="3381" w:hanging="1245"/>
      </w:pPr>
      <w:rPr>
        <w:rFonts w:ascii="Cambria" w:hAnsi="Cambria" w:hint="default"/>
        <w:color w:val="FF0000"/>
        <w:sz w:val="20"/>
      </w:rPr>
    </w:lvl>
    <w:lvl w:ilvl="4">
      <w:start w:val="1"/>
      <w:numFmt w:val="decimal"/>
      <w:isLgl/>
      <w:lvlText w:val="%1.%2.%3.%4.%5"/>
      <w:lvlJc w:val="left"/>
      <w:pPr>
        <w:ind w:left="3853" w:hanging="1245"/>
      </w:pPr>
      <w:rPr>
        <w:rFonts w:ascii="Cambria" w:hAnsi="Cambria" w:hint="default"/>
        <w:color w:val="FF0000"/>
        <w:sz w:val="20"/>
      </w:rPr>
    </w:lvl>
    <w:lvl w:ilvl="5">
      <w:start w:val="1"/>
      <w:numFmt w:val="decimal"/>
      <w:isLgl/>
      <w:lvlText w:val="%1.%2.%3.%4.%5.%6"/>
      <w:lvlJc w:val="left"/>
      <w:pPr>
        <w:ind w:left="4520" w:hanging="1440"/>
      </w:pPr>
      <w:rPr>
        <w:rFonts w:ascii="Cambria" w:hAnsi="Cambria" w:hint="default"/>
        <w:color w:val="FF0000"/>
        <w:sz w:val="20"/>
      </w:rPr>
    </w:lvl>
    <w:lvl w:ilvl="6">
      <w:start w:val="1"/>
      <w:numFmt w:val="decimal"/>
      <w:isLgl/>
      <w:lvlText w:val="%1.%2.%3.%4.%5.%6.%7"/>
      <w:lvlJc w:val="left"/>
      <w:pPr>
        <w:ind w:left="4992" w:hanging="1440"/>
      </w:pPr>
      <w:rPr>
        <w:rFonts w:ascii="Cambria" w:hAnsi="Cambria" w:hint="default"/>
        <w:color w:val="FF0000"/>
        <w:sz w:val="20"/>
      </w:rPr>
    </w:lvl>
    <w:lvl w:ilvl="7">
      <w:start w:val="1"/>
      <w:numFmt w:val="decimal"/>
      <w:isLgl/>
      <w:lvlText w:val="%1.%2.%3.%4.%5.%6.%7.%8"/>
      <w:lvlJc w:val="left"/>
      <w:pPr>
        <w:ind w:left="5824" w:hanging="1800"/>
      </w:pPr>
      <w:rPr>
        <w:rFonts w:ascii="Cambria" w:hAnsi="Cambria" w:hint="default"/>
        <w:color w:val="FF0000"/>
        <w:sz w:val="20"/>
      </w:rPr>
    </w:lvl>
    <w:lvl w:ilvl="8">
      <w:start w:val="1"/>
      <w:numFmt w:val="decimal"/>
      <w:isLgl/>
      <w:lvlText w:val="%1.%2.%3.%4.%5.%6.%7.%8.%9"/>
      <w:lvlJc w:val="left"/>
      <w:pPr>
        <w:ind w:left="6296" w:hanging="1800"/>
      </w:pPr>
      <w:rPr>
        <w:rFonts w:ascii="Cambria" w:hAnsi="Cambria" w:hint="default"/>
        <w:color w:val="FF0000"/>
        <w:sz w:val="20"/>
      </w:rPr>
    </w:lvl>
  </w:abstractNum>
  <w:abstractNum w:abstractNumId="4"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5"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491C52"/>
    <w:multiLevelType w:val="hybridMultilevel"/>
    <w:tmpl w:val="7CA08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903577"/>
    <w:multiLevelType w:val="hybridMultilevel"/>
    <w:tmpl w:val="8ED654D6"/>
    <w:lvl w:ilvl="0" w:tplc="02E0BA42">
      <w:start w:val="1"/>
      <w:numFmt w:val="bullet"/>
      <w:lvlText w:val=""/>
      <w:lvlJc w:val="left"/>
      <w:pPr>
        <w:ind w:left="1440" w:hanging="360"/>
      </w:pPr>
      <w:rPr>
        <w:rFonts w:ascii="Symbol" w:hAnsi="Symbol" w:hint="default"/>
        <w:lang w:val="es-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951C10"/>
    <w:multiLevelType w:val="hybridMultilevel"/>
    <w:tmpl w:val="2F123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3"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42158CF"/>
    <w:multiLevelType w:val="hybridMultilevel"/>
    <w:tmpl w:val="A3FA3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77037557"/>
    <w:multiLevelType w:val="hybridMultilevel"/>
    <w:tmpl w:val="99D4DA4E"/>
    <w:lvl w:ilvl="0" w:tplc="0409000F">
      <w:start w:val="1"/>
      <w:numFmt w:val="decimal"/>
      <w:lvlText w:val="%1."/>
      <w:lvlJc w:val="left"/>
      <w:pPr>
        <w:ind w:left="720" w:hanging="360"/>
      </w:pPr>
      <w:rPr>
        <w:rFonts w:hint="default"/>
      </w:rPr>
    </w:lvl>
    <w:lvl w:ilvl="1" w:tplc="8EEEC4DE">
      <w:numFmt w:val="bullet"/>
      <w:lvlText w:val="-"/>
      <w:lvlJc w:val="left"/>
      <w:pPr>
        <w:ind w:left="1440" w:hanging="360"/>
      </w:pPr>
      <w:rPr>
        <w:rFonts w:ascii="Cambria" w:eastAsiaTheme="minorHAnsi" w:hAnsi="Cambria"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3"/>
  </w:num>
  <w:num w:numId="2" w16cid:durableId="453600156">
    <w:abstractNumId w:val="33"/>
  </w:num>
  <w:num w:numId="3" w16cid:durableId="897327684">
    <w:abstractNumId w:val="20"/>
  </w:num>
  <w:num w:numId="4" w16cid:durableId="1141650489">
    <w:abstractNumId w:val="32"/>
  </w:num>
  <w:num w:numId="5" w16cid:durableId="746342540">
    <w:abstractNumId w:val="15"/>
  </w:num>
  <w:num w:numId="6" w16cid:durableId="1621692518">
    <w:abstractNumId w:val="8"/>
  </w:num>
  <w:num w:numId="7" w16cid:durableId="971790784">
    <w:abstractNumId w:val="1"/>
  </w:num>
  <w:num w:numId="8" w16cid:durableId="1387029646">
    <w:abstractNumId w:val="41"/>
  </w:num>
  <w:num w:numId="9" w16cid:durableId="1086881292">
    <w:abstractNumId w:val="9"/>
  </w:num>
  <w:num w:numId="10" w16cid:durableId="1292322756">
    <w:abstractNumId w:val="14"/>
  </w:num>
  <w:num w:numId="11" w16cid:durableId="1000500350">
    <w:abstractNumId w:val="4"/>
  </w:num>
  <w:num w:numId="12" w16cid:durableId="1706103099">
    <w:abstractNumId w:val="40"/>
  </w:num>
  <w:num w:numId="13" w16cid:durableId="1756710271">
    <w:abstractNumId w:val="22"/>
  </w:num>
  <w:num w:numId="14" w16cid:durableId="1099252676">
    <w:abstractNumId w:val="44"/>
  </w:num>
  <w:num w:numId="15" w16cid:durableId="1030109151">
    <w:abstractNumId w:val="18"/>
  </w:num>
  <w:num w:numId="16" w16cid:durableId="1722748191">
    <w:abstractNumId w:val="17"/>
  </w:num>
  <w:num w:numId="17" w16cid:durableId="351491452">
    <w:abstractNumId w:val="31"/>
  </w:num>
  <w:num w:numId="18" w16cid:durableId="1027633537">
    <w:abstractNumId w:val="11"/>
  </w:num>
  <w:num w:numId="19" w16cid:durableId="457845413">
    <w:abstractNumId w:val="30"/>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1"/>
  </w:num>
  <w:num w:numId="22" w16cid:durableId="2003926928">
    <w:abstractNumId w:val="12"/>
  </w:num>
  <w:num w:numId="23" w16cid:durableId="1497725357">
    <w:abstractNumId w:val="25"/>
  </w:num>
  <w:num w:numId="24" w16cid:durableId="307248652">
    <w:abstractNumId w:val="27"/>
  </w:num>
  <w:num w:numId="25" w16cid:durableId="1985550389">
    <w:abstractNumId w:val="7"/>
  </w:num>
  <w:num w:numId="26" w16cid:durableId="1478456909">
    <w:abstractNumId w:val="10"/>
  </w:num>
  <w:num w:numId="27" w16cid:durableId="1176925587">
    <w:abstractNumId w:val="5"/>
  </w:num>
  <w:num w:numId="28" w16cid:durableId="1876766616">
    <w:abstractNumId w:val="42"/>
  </w:num>
  <w:num w:numId="29" w16cid:durableId="2142572164">
    <w:abstractNumId w:val="38"/>
  </w:num>
  <w:num w:numId="30" w16cid:durableId="571933528">
    <w:abstractNumId w:val="35"/>
  </w:num>
  <w:num w:numId="31" w16cid:durableId="1861430946">
    <w:abstractNumId w:val="16"/>
  </w:num>
  <w:num w:numId="32" w16cid:durableId="803893092">
    <w:abstractNumId w:val="19"/>
  </w:num>
  <w:num w:numId="33" w16cid:durableId="1739936026">
    <w:abstractNumId w:val="6"/>
  </w:num>
  <w:num w:numId="34" w16cid:durableId="1458915668">
    <w:abstractNumId w:val="34"/>
  </w:num>
  <w:num w:numId="35" w16cid:durableId="1599485303">
    <w:abstractNumId w:val="45"/>
  </w:num>
  <w:num w:numId="36" w16cid:durableId="1664964272">
    <w:abstractNumId w:val="43"/>
  </w:num>
  <w:num w:numId="37" w16cid:durableId="2074966919">
    <w:abstractNumId w:val="37"/>
  </w:num>
  <w:num w:numId="38" w16cid:durableId="20934263">
    <w:abstractNumId w:val="26"/>
  </w:num>
  <w:num w:numId="39" w16cid:durableId="195656616">
    <w:abstractNumId w:val="28"/>
  </w:num>
  <w:num w:numId="40" w16cid:durableId="859011189">
    <w:abstractNumId w:val="39"/>
  </w:num>
  <w:num w:numId="41" w16cid:durableId="1023283258">
    <w:abstractNumId w:val="23"/>
  </w:num>
  <w:num w:numId="42" w16cid:durableId="990402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8791555">
    <w:abstractNumId w:val="24"/>
  </w:num>
  <w:num w:numId="44" w16cid:durableId="1614701818">
    <w:abstractNumId w:val="2"/>
  </w:num>
  <w:num w:numId="45" w16cid:durableId="1142043388">
    <w:abstractNumId w:val="29"/>
  </w:num>
  <w:num w:numId="46" w16cid:durableId="599919953">
    <w:abstractNumId w:val="0"/>
  </w:num>
  <w:num w:numId="47" w16cid:durableId="703404346">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25AE"/>
    <w:rsid w:val="0006625E"/>
    <w:rsid w:val="000667A7"/>
    <w:rsid w:val="00074D00"/>
    <w:rsid w:val="00077368"/>
    <w:rsid w:val="00096079"/>
    <w:rsid w:val="000B3203"/>
    <w:rsid w:val="000B3318"/>
    <w:rsid w:val="000D32B6"/>
    <w:rsid w:val="000D6F2C"/>
    <w:rsid w:val="000F6851"/>
    <w:rsid w:val="001011E0"/>
    <w:rsid w:val="00101E3E"/>
    <w:rsid w:val="00112395"/>
    <w:rsid w:val="0012326D"/>
    <w:rsid w:val="0012586C"/>
    <w:rsid w:val="00127F17"/>
    <w:rsid w:val="001511FD"/>
    <w:rsid w:val="001541D4"/>
    <w:rsid w:val="00162518"/>
    <w:rsid w:val="001834F6"/>
    <w:rsid w:val="001C516B"/>
    <w:rsid w:val="001E3F4C"/>
    <w:rsid w:val="00215215"/>
    <w:rsid w:val="0021669C"/>
    <w:rsid w:val="00226F48"/>
    <w:rsid w:val="00236411"/>
    <w:rsid w:val="00240E8E"/>
    <w:rsid w:val="002547E7"/>
    <w:rsid w:val="00260836"/>
    <w:rsid w:val="00277604"/>
    <w:rsid w:val="0028361D"/>
    <w:rsid w:val="002859A9"/>
    <w:rsid w:val="00292B52"/>
    <w:rsid w:val="0029490A"/>
    <w:rsid w:val="00294A83"/>
    <w:rsid w:val="00294B17"/>
    <w:rsid w:val="002A39B2"/>
    <w:rsid w:val="002D40CD"/>
    <w:rsid w:val="002E4FBC"/>
    <w:rsid w:val="002F156A"/>
    <w:rsid w:val="0030551A"/>
    <w:rsid w:val="00324C1A"/>
    <w:rsid w:val="00335042"/>
    <w:rsid w:val="00336E78"/>
    <w:rsid w:val="003419CC"/>
    <w:rsid w:val="00343CED"/>
    <w:rsid w:val="0036283E"/>
    <w:rsid w:val="00371855"/>
    <w:rsid w:val="00385F0C"/>
    <w:rsid w:val="00393310"/>
    <w:rsid w:val="00394EEF"/>
    <w:rsid w:val="003C4836"/>
    <w:rsid w:val="003E4C2F"/>
    <w:rsid w:val="003E533F"/>
    <w:rsid w:val="003E6F57"/>
    <w:rsid w:val="003F3C6B"/>
    <w:rsid w:val="003F5F19"/>
    <w:rsid w:val="00401DCE"/>
    <w:rsid w:val="00402700"/>
    <w:rsid w:val="00402943"/>
    <w:rsid w:val="00417964"/>
    <w:rsid w:val="00420BB1"/>
    <w:rsid w:val="0043583A"/>
    <w:rsid w:val="004545D1"/>
    <w:rsid w:val="00457BAB"/>
    <w:rsid w:val="00462B02"/>
    <w:rsid w:val="00470C7B"/>
    <w:rsid w:val="0047146A"/>
    <w:rsid w:val="004722BC"/>
    <w:rsid w:val="00472E04"/>
    <w:rsid w:val="0047567D"/>
    <w:rsid w:val="00477BF2"/>
    <w:rsid w:val="004A60BF"/>
    <w:rsid w:val="004A7BC8"/>
    <w:rsid w:val="004B3074"/>
    <w:rsid w:val="004B41A8"/>
    <w:rsid w:val="004B7CA6"/>
    <w:rsid w:val="004C6CCF"/>
    <w:rsid w:val="004C7C99"/>
    <w:rsid w:val="004F5CA9"/>
    <w:rsid w:val="004F5F70"/>
    <w:rsid w:val="00504855"/>
    <w:rsid w:val="005145CC"/>
    <w:rsid w:val="005205B9"/>
    <w:rsid w:val="00520911"/>
    <w:rsid w:val="00527F0F"/>
    <w:rsid w:val="00534F2B"/>
    <w:rsid w:val="00550B55"/>
    <w:rsid w:val="005566F5"/>
    <w:rsid w:val="005829B9"/>
    <w:rsid w:val="00594A1B"/>
    <w:rsid w:val="005A328E"/>
    <w:rsid w:val="005A49FD"/>
    <w:rsid w:val="005A4D20"/>
    <w:rsid w:val="005A5AE8"/>
    <w:rsid w:val="005A5E14"/>
    <w:rsid w:val="005B2CD3"/>
    <w:rsid w:val="005B2E65"/>
    <w:rsid w:val="005C2637"/>
    <w:rsid w:val="005C414D"/>
    <w:rsid w:val="005D7F05"/>
    <w:rsid w:val="005E3720"/>
    <w:rsid w:val="005E4B03"/>
    <w:rsid w:val="005F171A"/>
    <w:rsid w:val="005F4AAA"/>
    <w:rsid w:val="0060081A"/>
    <w:rsid w:val="00604132"/>
    <w:rsid w:val="0063267F"/>
    <w:rsid w:val="00634F89"/>
    <w:rsid w:val="00637AFB"/>
    <w:rsid w:val="00655003"/>
    <w:rsid w:val="00660EF3"/>
    <w:rsid w:val="00663A76"/>
    <w:rsid w:val="006659C2"/>
    <w:rsid w:val="0067152B"/>
    <w:rsid w:val="00672090"/>
    <w:rsid w:val="006C2941"/>
    <w:rsid w:val="006C2B06"/>
    <w:rsid w:val="006C7308"/>
    <w:rsid w:val="006E2BD8"/>
    <w:rsid w:val="006F0429"/>
    <w:rsid w:val="006F75AC"/>
    <w:rsid w:val="0070407B"/>
    <w:rsid w:val="00705E57"/>
    <w:rsid w:val="007175E2"/>
    <w:rsid w:val="00727940"/>
    <w:rsid w:val="00730193"/>
    <w:rsid w:val="0073227E"/>
    <w:rsid w:val="00732EA4"/>
    <w:rsid w:val="007377D4"/>
    <w:rsid w:val="007B0327"/>
    <w:rsid w:val="007B1EDA"/>
    <w:rsid w:val="007B3452"/>
    <w:rsid w:val="007B3D07"/>
    <w:rsid w:val="007C2CC3"/>
    <w:rsid w:val="007C351D"/>
    <w:rsid w:val="007D4C18"/>
    <w:rsid w:val="007E463E"/>
    <w:rsid w:val="007F4E67"/>
    <w:rsid w:val="007F5F4E"/>
    <w:rsid w:val="00801509"/>
    <w:rsid w:val="00802867"/>
    <w:rsid w:val="00806082"/>
    <w:rsid w:val="00807BAA"/>
    <w:rsid w:val="008145AE"/>
    <w:rsid w:val="00817E0C"/>
    <w:rsid w:val="008338E4"/>
    <w:rsid w:val="00833BA8"/>
    <w:rsid w:val="00846397"/>
    <w:rsid w:val="008521E0"/>
    <w:rsid w:val="00854914"/>
    <w:rsid w:val="008550EF"/>
    <w:rsid w:val="00873D78"/>
    <w:rsid w:val="0087640A"/>
    <w:rsid w:val="00893661"/>
    <w:rsid w:val="008A1CBE"/>
    <w:rsid w:val="008B1EA8"/>
    <w:rsid w:val="008B2A99"/>
    <w:rsid w:val="008B6DA8"/>
    <w:rsid w:val="008E42E1"/>
    <w:rsid w:val="008E751C"/>
    <w:rsid w:val="008F2248"/>
    <w:rsid w:val="009108A4"/>
    <w:rsid w:val="00913C77"/>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536"/>
    <w:rsid w:val="00A7781B"/>
    <w:rsid w:val="00A860C7"/>
    <w:rsid w:val="00AA164D"/>
    <w:rsid w:val="00AB0F8C"/>
    <w:rsid w:val="00AB253B"/>
    <w:rsid w:val="00AC2C8E"/>
    <w:rsid w:val="00AE1B0F"/>
    <w:rsid w:val="00AF2D92"/>
    <w:rsid w:val="00AF3E99"/>
    <w:rsid w:val="00B002D8"/>
    <w:rsid w:val="00B056D9"/>
    <w:rsid w:val="00B063D6"/>
    <w:rsid w:val="00B120EB"/>
    <w:rsid w:val="00B205A7"/>
    <w:rsid w:val="00B3732F"/>
    <w:rsid w:val="00B40F77"/>
    <w:rsid w:val="00B4343F"/>
    <w:rsid w:val="00B554FC"/>
    <w:rsid w:val="00B60889"/>
    <w:rsid w:val="00B613E1"/>
    <w:rsid w:val="00B674F5"/>
    <w:rsid w:val="00B74EA5"/>
    <w:rsid w:val="00B8008C"/>
    <w:rsid w:val="00B806AC"/>
    <w:rsid w:val="00B93993"/>
    <w:rsid w:val="00BA2B9F"/>
    <w:rsid w:val="00BB0A8F"/>
    <w:rsid w:val="00BC3854"/>
    <w:rsid w:val="00C03B37"/>
    <w:rsid w:val="00C14CDB"/>
    <w:rsid w:val="00C17E67"/>
    <w:rsid w:val="00C17F04"/>
    <w:rsid w:val="00C205C5"/>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3A4D"/>
    <w:rsid w:val="00D048B2"/>
    <w:rsid w:val="00D05BCC"/>
    <w:rsid w:val="00D23C64"/>
    <w:rsid w:val="00D735C2"/>
    <w:rsid w:val="00D76EDC"/>
    <w:rsid w:val="00D91EBA"/>
    <w:rsid w:val="00D9413D"/>
    <w:rsid w:val="00DA7797"/>
    <w:rsid w:val="00DC5A37"/>
    <w:rsid w:val="00DC7C8F"/>
    <w:rsid w:val="00DE4A18"/>
    <w:rsid w:val="00DF0FE5"/>
    <w:rsid w:val="00DF2EDF"/>
    <w:rsid w:val="00E0051B"/>
    <w:rsid w:val="00E12118"/>
    <w:rsid w:val="00E125C1"/>
    <w:rsid w:val="00E177B0"/>
    <w:rsid w:val="00E24621"/>
    <w:rsid w:val="00E3040C"/>
    <w:rsid w:val="00E31824"/>
    <w:rsid w:val="00E42870"/>
    <w:rsid w:val="00E525B3"/>
    <w:rsid w:val="00E6614F"/>
    <w:rsid w:val="00E737AE"/>
    <w:rsid w:val="00E953CE"/>
    <w:rsid w:val="00EB2409"/>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44E"/>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Footnote,de nota al pie"/>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 w:type="paragraph" w:styleId="BodyTextIndent">
    <w:name w:val="Body Text Indent"/>
    <w:basedOn w:val="Normal"/>
    <w:link w:val="BodyTextIndentChar"/>
    <w:uiPriority w:val="99"/>
    <w:unhideWhenUsed/>
    <w:rsid w:val="00550B55"/>
    <w:pPr>
      <w:suppressAutoHyphens/>
      <w:spacing w:after="120" w:line="240" w:lineRule="auto"/>
      <w:ind w:left="360"/>
    </w:pPr>
    <w:rPr>
      <w:rFonts w:ascii="Cambria" w:eastAsiaTheme="minorHAnsi" w:hAnsi="Cambria" w:cstheme="minorBidi"/>
    </w:rPr>
  </w:style>
  <w:style w:type="character" w:customStyle="1" w:styleId="SangradetextonormalCar">
    <w:name w:val="Sangría de texto normal Car"/>
    <w:basedOn w:val="DefaultParagraphFont"/>
    <w:uiPriority w:val="99"/>
    <w:semiHidden/>
    <w:rsid w:val="00550B55"/>
    <w:rPr>
      <w:sz w:val="22"/>
      <w:szCs w:val="22"/>
      <w:lang w:val="en-US" w:eastAsia="en-US"/>
    </w:rPr>
  </w:style>
  <w:style w:type="character" w:customStyle="1" w:styleId="BodyTextIndentChar">
    <w:name w:val="Body Text Indent Char"/>
    <w:basedOn w:val="DefaultParagraphFont"/>
    <w:link w:val="BodyTextIndent"/>
    <w:uiPriority w:val="99"/>
    <w:rsid w:val="00550B55"/>
    <w:rPr>
      <w:rFonts w:ascii="Cambria" w:eastAsiaTheme="minorHAnsi" w:hAnsi="Cambria" w:cstheme="minorBidi"/>
      <w:sz w:val="22"/>
      <w:szCs w:val="22"/>
      <w:lang w:val="en-US" w:eastAsia="en-US"/>
    </w:rPr>
  </w:style>
  <w:style w:type="character" w:styleId="BookTitle">
    <w:name w:val="Book Title"/>
    <w:basedOn w:val="DefaultParagraphFont"/>
    <w:uiPriority w:val="33"/>
    <w:rsid w:val="00520911"/>
    <w:rPr>
      <w:b/>
      <w:bCs/>
      <w:i/>
      <w:iCs/>
      <w:spacing w:val="5"/>
    </w:rPr>
  </w:style>
  <w:style w:type="character" w:customStyle="1" w:styleId="TextonotapieCar2">
    <w:name w:val="Texto nota pie Car2"/>
    <w:aliases w:val="Footnote Text Char Char Char Char Char Car1,Footnote Text Char Char Char Char Car1,Footnote reference Car1,FA Fu Car1,Footnote Text Char Char Char Car1,Footnote Text Cha Car1,FA Fußnotentext Car1,FA Fuﬂnotentext Car1,Ca Car"/>
    <w:basedOn w:val="DefaultParagraphFont"/>
    <w:qFormat/>
    <w:rsid w:val="00E0051B"/>
    <w:rPr>
      <w:rFonts w:ascii="Cambria" w:hAnsi="Cambri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n/iachr/decisions/2015/COSA108-00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as.org/en/iachr/decisions/2015/COSA108-00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3/chapters/IA2023_Cap_2_ENG.PDF" TargetMode="External"/><Relationship Id="rId2" Type="http://schemas.openxmlformats.org/officeDocument/2006/relationships/hyperlink" Target="https://www.oas.org/en/iachr/docs/annual/2022/Chapters/4-IA2022_Cap_2_EN.pdf" TargetMode="External"/><Relationship Id="rId1" Type="http://schemas.openxmlformats.org/officeDocument/2006/relationships/hyperlink" Target="https://www.oas.org/en/iachr/docs/annual/2022/Chapters/4-IA2022_Cap_2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